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8DE" w:rsidRPr="00DD518E" w:rsidRDefault="00B328DE" w:rsidP="00B328DE">
      <w:pPr>
        <w:jc w:val="center"/>
        <w:rPr>
          <w:rFonts w:ascii="Arial" w:hAnsi="Arial" w:cs="Arial"/>
          <w:b/>
          <w:sz w:val="30"/>
          <w:szCs w:val="30"/>
        </w:rPr>
      </w:pPr>
      <w:r w:rsidRPr="00DD518E">
        <w:rPr>
          <w:rFonts w:ascii="Arial" w:hAnsi="Arial" w:cs="Arial"/>
          <w:b/>
          <w:sz w:val="30"/>
          <w:szCs w:val="30"/>
        </w:rPr>
        <w:t>Komisie Zastupiteľstva Bratislavského samosprávneho kraja</w:t>
      </w:r>
    </w:p>
    <w:p w:rsidR="00B328DE" w:rsidRDefault="00B328DE" w:rsidP="00B328DE">
      <w:pPr>
        <w:jc w:val="center"/>
        <w:rPr>
          <w:b/>
          <w:sz w:val="28"/>
          <w:szCs w:val="28"/>
        </w:rPr>
      </w:pPr>
    </w:p>
    <w:p w:rsidR="00B328DE" w:rsidRDefault="00B328DE" w:rsidP="00B328DE">
      <w:pPr>
        <w:jc w:val="center"/>
        <w:rPr>
          <w:b/>
          <w:sz w:val="28"/>
          <w:szCs w:val="28"/>
        </w:rPr>
      </w:pPr>
    </w:p>
    <w:p w:rsidR="00B328DE" w:rsidRPr="008331CA" w:rsidRDefault="009B3980" w:rsidP="00B328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</w:t>
      </w:r>
      <w:r w:rsidR="00B328DE" w:rsidRPr="008331CA">
        <w:rPr>
          <w:rFonts w:ascii="Arial" w:hAnsi="Arial" w:cs="Arial"/>
          <w:sz w:val="22"/>
          <w:szCs w:val="22"/>
        </w:rPr>
        <w:t xml:space="preserve"> Zastupiteľstva</w:t>
      </w:r>
    </w:p>
    <w:p w:rsidR="00B328DE" w:rsidRDefault="00B328DE" w:rsidP="00B328DE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171ED9" w:rsidRDefault="00171ED9" w:rsidP="00B328DE">
      <w:pPr>
        <w:jc w:val="both"/>
        <w:rPr>
          <w:rFonts w:ascii="Arial" w:hAnsi="Arial" w:cs="Arial"/>
          <w:sz w:val="22"/>
          <w:szCs w:val="22"/>
        </w:rPr>
      </w:pPr>
    </w:p>
    <w:p w:rsidR="00171ED9" w:rsidRPr="00171ED9" w:rsidRDefault="00171ED9" w:rsidP="00B328D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21. júna </w:t>
      </w:r>
      <w:r w:rsidRPr="00171ED9">
        <w:rPr>
          <w:rFonts w:ascii="Arial" w:hAnsi="Arial" w:cs="Arial"/>
          <w:b/>
          <w:sz w:val="22"/>
          <w:szCs w:val="22"/>
        </w:rPr>
        <w:t>2013</w:t>
      </w:r>
    </w:p>
    <w:p w:rsidR="00B328DE" w:rsidRDefault="00B328DE" w:rsidP="00B328DE">
      <w:pPr>
        <w:jc w:val="center"/>
        <w:rPr>
          <w:rFonts w:ascii="Arial" w:hAnsi="Arial" w:cs="Arial"/>
          <w:b/>
        </w:rPr>
      </w:pPr>
    </w:p>
    <w:p w:rsidR="00B328DE" w:rsidRDefault="00B328DE" w:rsidP="00B328DE">
      <w:pPr>
        <w:rPr>
          <w:rFonts w:ascii="Arial" w:hAnsi="Arial" w:cs="Arial"/>
          <w:b/>
        </w:rPr>
      </w:pPr>
    </w:p>
    <w:p w:rsidR="00B328DE" w:rsidRDefault="00B328DE" w:rsidP="00B328DE">
      <w:pPr>
        <w:jc w:val="center"/>
        <w:rPr>
          <w:rFonts w:ascii="Arial" w:hAnsi="Arial" w:cs="Arial"/>
          <w:b/>
        </w:rPr>
      </w:pPr>
    </w:p>
    <w:p w:rsidR="00B328DE" w:rsidRDefault="00B328DE" w:rsidP="00B328DE">
      <w:pPr>
        <w:jc w:val="center"/>
        <w:rPr>
          <w:rFonts w:ascii="Arial" w:hAnsi="Arial" w:cs="Arial"/>
          <w:b/>
        </w:rPr>
      </w:pPr>
    </w:p>
    <w:p w:rsidR="00B328DE" w:rsidRPr="001F0AB6" w:rsidRDefault="00B328DE" w:rsidP="00B328DE">
      <w:pPr>
        <w:pStyle w:val="Nadpis1"/>
        <w:keepNext w:val="0"/>
        <w:widowControl w:val="0"/>
        <w:jc w:val="center"/>
        <w:rPr>
          <w:rFonts w:ascii="Calibri" w:hAnsi="Calibri"/>
        </w:rPr>
      </w:pPr>
      <w:r w:rsidRPr="001F0AB6">
        <w:rPr>
          <w:rFonts w:ascii="Calibri" w:hAnsi="Calibri"/>
        </w:rPr>
        <w:t>Návrh Záverečného účtu</w:t>
      </w:r>
    </w:p>
    <w:p w:rsidR="00B328DE" w:rsidRPr="001F0AB6" w:rsidRDefault="00B328DE" w:rsidP="00B328DE">
      <w:pPr>
        <w:pBdr>
          <w:bottom w:val="single" w:sz="4" w:space="0" w:color="auto"/>
        </w:pBdr>
        <w:jc w:val="center"/>
        <w:rPr>
          <w:rFonts w:ascii="Calibri" w:hAnsi="Calibri" w:cs="Arial"/>
          <w:sz w:val="32"/>
        </w:rPr>
      </w:pPr>
      <w:r w:rsidRPr="001F0AB6">
        <w:rPr>
          <w:rFonts w:ascii="Calibri" w:hAnsi="Calibri" w:cs="Arial"/>
          <w:b/>
          <w:sz w:val="32"/>
        </w:rPr>
        <w:t>Bratislavského samosprávneho kraja za rok 20</w:t>
      </w:r>
      <w:r>
        <w:rPr>
          <w:rFonts w:ascii="Calibri" w:hAnsi="Calibri" w:cs="Arial"/>
          <w:b/>
          <w:sz w:val="32"/>
        </w:rPr>
        <w:t>1</w:t>
      </w:r>
      <w:r w:rsidR="00DD518E">
        <w:rPr>
          <w:rFonts w:ascii="Calibri" w:hAnsi="Calibri" w:cs="Arial"/>
          <w:b/>
          <w:sz w:val="32"/>
        </w:rPr>
        <w:t>2</w:t>
      </w:r>
    </w:p>
    <w:p w:rsidR="00B328DE" w:rsidRDefault="00B328DE" w:rsidP="00B328DE">
      <w:pPr>
        <w:jc w:val="both"/>
        <w:rPr>
          <w:rFonts w:ascii="Arial" w:hAnsi="Arial" w:cs="Arial"/>
          <w:u w:val="single"/>
        </w:rPr>
      </w:pPr>
    </w:p>
    <w:p w:rsidR="00B328DE" w:rsidRDefault="00B328DE" w:rsidP="00B328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171ED9" w:rsidRPr="009616E3" w:rsidRDefault="00171ED9" w:rsidP="00171ED9">
      <w:pPr>
        <w:tabs>
          <w:tab w:val="left" w:pos="1254"/>
        </w:tabs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predkladá</w:t>
      </w:r>
      <w:r w:rsidRPr="009616E3">
        <w:rPr>
          <w:rFonts w:ascii="Arial" w:hAnsi="Arial" w:cs="Arial"/>
        </w:rPr>
        <w:t>:</w:t>
      </w:r>
      <w:r w:rsidRPr="001F0AB6">
        <w:rPr>
          <w:rFonts w:ascii="Calibri" w:hAnsi="Calibri" w:cs="Arial"/>
        </w:rPr>
        <w:t xml:space="preserve">      </w:t>
      </w:r>
      <w:r w:rsidRPr="001F0AB6">
        <w:rPr>
          <w:rFonts w:ascii="Calibri" w:hAnsi="Calibri" w:cs="Arial"/>
        </w:rPr>
        <w:tab/>
        <w:t xml:space="preserve">                                    </w:t>
      </w:r>
      <w:r>
        <w:rPr>
          <w:rFonts w:ascii="Calibri" w:hAnsi="Calibri" w:cs="Arial"/>
        </w:rPr>
        <w:tab/>
      </w:r>
      <w:r w:rsidRPr="009616E3">
        <w:rPr>
          <w:rFonts w:ascii="Arial" w:hAnsi="Arial" w:cs="Arial"/>
          <w:u w:val="single"/>
        </w:rPr>
        <w:t>Materiál obsahuje</w:t>
      </w:r>
      <w:r w:rsidRPr="009616E3">
        <w:rPr>
          <w:rFonts w:ascii="Arial" w:hAnsi="Arial" w:cs="Arial"/>
        </w:rPr>
        <w:t>:</w:t>
      </w:r>
    </w:p>
    <w:p w:rsidR="00171ED9" w:rsidRPr="009616E3" w:rsidRDefault="00171ED9" w:rsidP="00171ED9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</w:p>
    <w:p w:rsidR="00171ED9" w:rsidRPr="009616E3" w:rsidRDefault="00171ED9" w:rsidP="00171ED9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9616E3">
        <w:rPr>
          <w:rFonts w:ascii="Arial" w:hAnsi="Arial" w:cs="Arial"/>
          <w:b/>
        </w:rPr>
        <w:t>JUDr. Ivo Nesrovnal</w:t>
      </w:r>
      <w:r w:rsidRPr="009616E3">
        <w:rPr>
          <w:rFonts w:ascii="Arial" w:hAnsi="Arial" w:cs="Arial"/>
          <w:sz w:val="22"/>
          <w:szCs w:val="22"/>
        </w:rPr>
        <w:t xml:space="preserve">                                   </w:t>
      </w:r>
      <w:r w:rsidRPr="009616E3">
        <w:rPr>
          <w:rFonts w:ascii="Arial" w:hAnsi="Arial" w:cs="Arial"/>
          <w:sz w:val="22"/>
          <w:szCs w:val="22"/>
        </w:rPr>
        <w:tab/>
      </w:r>
      <w:r w:rsidRPr="009616E3">
        <w:rPr>
          <w:rFonts w:ascii="Arial" w:hAnsi="Arial" w:cs="Arial"/>
        </w:rPr>
        <w:t>1. Návrh uznesenia</w:t>
      </w:r>
    </w:p>
    <w:p w:rsidR="00171ED9" w:rsidRPr="009616E3" w:rsidRDefault="00171ED9" w:rsidP="00171ED9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 w:rsidRPr="009616E3">
        <w:rPr>
          <w:rFonts w:ascii="Arial" w:hAnsi="Arial" w:cs="Arial"/>
        </w:rPr>
        <w:t>podpredseda</w:t>
      </w:r>
      <w:r w:rsidRPr="009616E3">
        <w:rPr>
          <w:rFonts w:ascii="Arial" w:hAnsi="Arial" w:cs="Arial"/>
        </w:rPr>
        <w:tab/>
        <w:t>2. Dôvodová správa</w:t>
      </w:r>
    </w:p>
    <w:p w:rsidR="00171ED9" w:rsidRPr="009616E3" w:rsidRDefault="00171ED9" w:rsidP="00171ED9">
      <w:pPr>
        <w:tabs>
          <w:tab w:val="left" w:pos="1254"/>
          <w:tab w:val="left" w:pos="5040"/>
        </w:tabs>
        <w:jc w:val="both"/>
        <w:rPr>
          <w:rFonts w:ascii="Arial" w:hAnsi="Arial" w:cs="Arial"/>
          <w:u w:val="single"/>
        </w:rPr>
      </w:pPr>
      <w:r w:rsidRPr="009616E3">
        <w:rPr>
          <w:rFonts w:ascii="Arial" w:hAnsi="Arial" w:cs="Arial"/>
        </w:rPr>
        <w:tab/>
      </w:r>
      <w:r w:rsidRPr="009616E3">
        <w:rPr>
          <w:rFonts w:ascii="Arial" w:hAnsi="Arial" w:cs="Arial"/>
        </w:rPr>
        <w:tab/>
        <w:t>3. Návrh záverečného účtu</w:t>
      </w:r>
      <w:r w:rsidRPr="009616E3">
        <w:rPr>
          <w:rFonts w:ascii="Arial" w:hAnsi="Arial" w:cs="Arial"/>
        </w:rPr>
        <w:tab/>
      </w:r>
    </w:p>
    <w:p w:rsidR="00171ED9" w:rsidRDefault="00171ED9" w:rsidP="00171ED9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 w:rsidRPr="009616E3">
        <w:rPr>
          <w:rFonts w:ascii="Arial" w:hAnsi="Arial"/>
        </w:rPr>
        <w:tab/>
        <w:t>4. Stanoviská komisií B</w:t>
      </w:r>
      <w:r>
        <w:rPr>
          <w:rFonts w:ascii="Arial" w:hAnsi="Arial"/>
        </w:rPr>
        <w:t>SK</w:t>
      </w:r>
    </w:p>
    <w:p w:rsidR="00171ED9" w:rsidRDefault="00171ED9" w:rsidP="00171ED9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</w:r>
      <w:r w:rsidRPr="009616E3">
        <w:rPr>
          <w:rFonts w:ascii="Arial" w:hAnsi="Arial"/>
        </w:rPr>
        <w:t>5.</w:t>
      </w:r>
      <w:r>
        <w:rPr>
          <w:rFonts w:ascii="Arial" w:hAnsi="Arial"/>
        </w:rPr>
        <w:t xml:space="preserve"> Stanovisko hlavného kontrolóra</w:t>
      </w:r>
    </w:p>
    <w:p w:rsidR="00171ED9" w:rsidRDefault="00171ED9" w:rsidP="00171ED9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  <w:t>6. Správa nezávislého audítora</w:t>
      </w:r>
    </w:p>
    <w:p w:rsidR="00171ED9" w:rsidRPr="009616E3" w:rsidRDefault="00171ED9" w:rsidP="00171ED9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  <w:t xml:space="preserve">    </w:t>
      </w:r>
      <w:r w:rsidRPr="009616E3">
        <w:rPr>
          <w:rFonts w:ascii="Arial" w:hAnsi="Arial"/>
        </w:rPr>
        <w:t>k účtovnej závierke BSK</w:t>
      </w:r>
    </w:p>
    <w:p w:rsidR="00B328DE" w:rsidRDefault="00B328DE" w:rsidP="00B328D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28DE" w:rsidRPr="004F4B45" w:rsidRDefault="00B328DE" w:rsidP="00B328DE">
      <w:pPr>
        <w:pStyle w:val="Zarkazkladnhotextu"/>
        <w:spacing w:line="276" w:lineRule="auto"/>
        <w:ind w:left="5761" w:hanging="5761"/>
        <w:rPr>
          <w:rFonts w:ascii="Arial" w:hAnsi="Arial" w:cs="Arial"/>
        </w:rPr>
      </w:pPr>
      <w:r w:rsidRPr="004F4B45">
        <w:rPr>
          <w:rFonts w:ascii="Arial" w:hAnsi="Arial" w:cs="Arial"/>
          <w:u w:val="single"/>
        </w:rPr>
        <w:t>Zodpovedný</w:t>
      </w:r>
      <w:r w:rsidRPr="004F4B45">
        <w:rPr>
          <w:rFonts w:ascii="Arial" w:hAnsi="Arial" w:cs="Arial"/>
        </w:rPr>
        <w:t>:</w:t>
      </w:r>
    </w:p>
    <w:p w:rsidR="00B328DE" w:rsidRPr="00912CC9" w:rsidRDefault="00B328DE" w:rsidP="00B328DE">
      <w:pPr>
        <w:tabs>
          <w:tab w:val="left" w:pos="1254"/>
        </w:tabs>
        <w:rPr>
          <w:rFonts w:ascii="Arial" w:hAnsi="Arial"/>
          <w:b/>
        </w:rPr>
      </w:pPr>
      <w:r w:rsidRPr="00912CC9">
        <w:rPr>
          <w:rFonts w:ascii="Arial" w:hAnsi="Arial"/>
          <w:b/>
        </w:rPr>
        <w:t>Ing. Marián Múdry</w:t>
      </w:r>
    </w:p>
    <w:p w:rsidR="00B328DE" w:rsidRDefault="00B328DE" w:rsidP="00B328DE">
      <w:pPr>
        <w:tabs>
          <w:tab w:val="left" w:pos="1254"/>
        </w:tabs>
        <w:rPr>
          <w:rFonts w:ascii="Arial" w:hAnsi="Arial"/>
        </w:rPr>
      </w:pPr>
      <w:r w:rsidRPr="004F4B45">
        <w:rPr>
          <w:rFonts w:ascii="Arial" w:hAnsi="Arial"/>
        </w:rPr>
        <w:t>riaditeľ odboru financií</w:t>
      </w:r>
    </w:p>
    <w:p w:rsidR="00B328DE" w:rsidRDefault="00B328DE" w:rsidP="00B328DE">
      <w:pPr>
        <w:tabs>
          <w:tab w:val="left" w:pos="1254"/>
        </w:tabs>
        <w:rPr>
          <w:rFonts w:ascii="Arial" w:hAnsi="Arial"/>
        </w:rPr>
      </w:pPr>
    </w:p>
    <w:p w:rsidR="00B328DE" w:rsidRPr="004F4B45" w:rsidRDefault="00B328DE" w:rsidP="00B328DE">
      <w:pPr>
        <w:tabs>
          <w:tab w:val="left" w:pos="1254"/>
        </w:tabs>
        <w:rPr>
          <w:rFonts w:ascii="Arial" w:hAnsi="Arial"/>
        </w:rPr>
      </w:pPr>
    </w:p>
    <w:p w:rsidR="00B328DE" w:rsidRPr="004F4B45" w:rsidRDefault="00B328DE" w:rsidP="00B328DE">
      <w:pPr>
        <w:tabs>
          <w:tab w:val="left" w:pos="1254"/>
        </w:tabs>
        <w:rPr>
          <w:rFonts w:ascii="Arial" w:hAnsi="Arial"/>
          <w:u w:val="single"/>
        </w:rPr>
      </w:pPr>
      <w:r w:rsidRPr="004F4B45">
        <w:rPr>
          <w:rFonts w:ascii="Arial" w:hAnsi="Arial"/>
          <w:u w:val="single"/>
        </w:rPr>
        <w:t>Spracovatelia:</w:t>
      </w:r>
    </w:p>
    <w:p w:rsidR="00B328DE" w:rsidRPr="004F4B45" w:rsidRDefault="00B328DE" w:rsidP="00B328DE">
      <w:pPr>
        <w:tabs>
          <w:tab w:val="left" w:pos="1254"/>
        </w:tabs>
        <w:rPr>
          <w:rFonts w:ascii="Arial" w:hAnsi="Arial"/>
        </w:rPr>
      </w:pPr>
    </w:p>
    <w:p w:rsidR="00C72212" w:rsidRPr="00171ED9" w:rsidRDefault="00B328DE" w:rsidP="00171ED9">
      <w:pPr>
        <w:pStyle w:val="Zarkazkladnhotextu"/>
        <w:spacing w:after="0"/>
        <w:ind w:left="0"/>
        <w:rPr>
          <w:rFonts w:asciiTheme="minorHAnsi" w:hAnsiTheme="minorHAnsi" w:cs="Arial"/>
          <w:b/>
          <w:sz w:val="22"/>
          <w:szCs w:val="22"/>
          <w:lang w:eastAsia="cs-CZ"/>
        </w:rPr>
      </w:pPr>
      <w:r w:rsidRPr="00171ED9">
        <w:rPr>
          <w:rFonts w:asciiTheme="minorHAnsi" w:hAnsiTheme="minorHAnsi"/>
          <w:b/>
          <w:sz w:val="22"/>
          <w:szCs w:val="22"/>
        </w:rPr>
        <w:t>Ing. Veronika Bódiová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="00DA331F" w:rsidRPr="00171ED9">
        <w:rPr>
          <w:rFonts w:asciiTheme="minorHAnsi" w:hAnsiTheme="minorHAnsi"/>
          <w:b/>
          <w:sz w:val="22"/>
          <w:szCs w:val="22"/>
        </w:rPr>
        <w:t>Bc. Renáta Pipašová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="00912CC9" w:rsidRPr="00171ED9">
        <w:rPr>
          <w:rFonts w:asciiTheme="minorHAnsi" w:hAnsiTheme="minorHAnsi"/>
          <w:b/>
          <w:sz w:val="22"/>
          <w:szCs w:val="22"/>
        </w:rPr>
        <w:t>Lucia Jankovičová</w:t>
      </w:r>
      <w:r w:rsidR="00912CC9"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>Mgr. Rudolf Zaťko</w:t>
      </w:r>
    </w:p>
    <w:p w:rsidR="00B328DE" w:rsidRPr="00DD518E" w:rsidRDefault="00C72212" w:rsidP="00171ED9">
      <w:pPr>
        <w:pStyle w:val="Zarkazkladnhotextu"/>
        <w:spacing w:after="0"/>
        <w:ind w:left="0"/>
        <w:rPr>
          <w:rFonts w:asciiTheme="minorHAnsi" w:hAnsiTheme="minorHAnsi"/>
          <w:b/>
          <w:sz w:val="18"/>
          <w:szCs w:val="18"/>
        </w:rPr>
      </w:pPr>
      <w:r w:rsidRPr="00C72212">
        <w:rPr>
          <w:rFonts w:asciiTheme="minorHAnsi" w:hAnsiTheme="minorHAnsi" w:cs="Arial"/>
          <w:sz w:val="18"/>
          <w:szCs w:val="18"/>
          <w:lang w:eastAsia="cs-CZ"/>
        </w:rPr>
        <w:t xml:space="preserve">vedúca </w:t>
      </w:r>
      <w:r w:rsidR="00B328DE" w:rsidRPr="00C72212">
        <w:rPr>
          <w:rFonts w:asciiTheme="minorHAnsi" w:hAnsiTheme="minorHAnsi" w:cs="Arial"/>
          <w:sz w:val="18"/>
          <w:szCs w:val="18"/>
          <w:lang w:eastAsia="cs-CZ"/>
        </w:rPr>
        <w:t>oddelenia rozpočtu</w:t>
      </w:r>
      <w:r w:rsidR="00B328DE" w:rsidRPr="005F6BB4">
        <w:rPr>
          <w:rFonts w:asciiTheme="minorHAnsi" w:hAnsiTheme="minorHAnsi" w:cs="Arial"/>
          <w:b/>
          <w:sz w:val="18"/>
          <w:szCs w:val="18"/>
          <w:lang w:eastAsia="cs-CZ"/>
        </w:rPr>
        <w:t xml:space="preserve"> </w:t>
      </w:r>
      <w:r w:rsidR="00B328DE" w:rsidRPr="005F6BB4">
        <w:rPr>
          <w:rFonts w:asciiTheme="minorHAnsi" w:hAnsiTheme="minorHAnsi" w:cs="Arial"/>
          <w:b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b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>referent rozpočtu</w:t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  <w:t>referent rozpočtu</w:t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  <w:t>referent rozpočtu</w:t>
      </w:r>
    </w:p>
    <w:p w:rsidR="00B328DE" w:rsidRPr="005F6BB4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eastAsia="Times New Roman" w:hAnsiTheme="minorHAnsi" w:cs="Arial"/>
          <w:sz w:val="18"/>
          <w:szCs w:val="18"/>
          <w:lang w:val="sk-SK" w:eastAsia="cs-CZ"/>
        </w:rPr>
      </w:pPr>
    </w:p>
    <w:p w:rsidR="00DD518E" w:rsidRPr="00171ED9" w:rsidRDefault="00B328DE" w:rsidP="00171ED9">
      <w:pPr>
        <w:pStyle w:val="Zarkazkladnhotextu"/>
        <w:spacing w:after="0"/>
        <w:ind w:left="0"/>
        <w:rPr>
          <w:rFonts w:asciiTheme="minorHAnsi" w:hAnsiTheme="minorHAnsi"/>
          <w:b/>
          <w:sz w:val="22"/>
          <w:szCs w:val="22"/>
        </w:rPr>
      </w:pPr>
      <w:r w:rsidRPr="00171ED9">
        <w:rPr>
          <w:rFonts w:asciiTheme="minorHAnsi" w:hAnsiTheme="minorHAnsi"/>
          <w:b/>
          <w:sz w:val="22"/>
          <w:szCs w:val="22"/>
        </w:rPr>
        <w:t>Ing. Marek Vlčej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="Calibri" w:hAnsi="Calibri"/>
          <w:b/>
          <w:sz w:val="22"/>
          <w:szCs w:val="22"/>
        </w:rPr>
        <w:t>Ing. Eva Zubčáková</w:t>
      </w:r>
      <w:r w:rsidRPr="00171ED9">
        <w:rPr>
          <w:rFonts w:asciiTheme="minorHAnsi" w:hAnsiTheme="minorHAnsi"/>
          <w:b/>
          <w:sz w:val="22"/>
          <w:szCs w:val="22"/>
        </w:rPr>
        <w:tab/>
        <w:t>Bc. Veronika Paráková</w:t>
      </w:r>
      <w:r w:rsidRPr="00171ED9">
        <w:rPr>
          <w:rFonts w:asciiTheme="minorHAnsi" w:hAnsiTheme="minorHAnsi"/>
          <w:b/>
          <w:sz w:val="22"/>
          <w:szCs w:val="22"/>
        </w:rPr>
        <w:tab/>
        <w:t xml:space="preserve">Mária </w:t>
      </w:r>
      <w:proofErr w:type="spellStart"/>
      <w:r w:rsidRPr="00171ED9">
        <w:rPr>
          <w:rFonts w:asciiTheme="minorHAnsi" w:hAnsiTheme="minorHAnsi"/>
          <w:b/>
          <w:sz w:val="22"/>
          <w:szCs w:val="22"/>
        </w:rPr>
        <w:t>Šimšíková</w:t>
      </w:r>
      <w:proofErr w:type="spellEnd"/>
    </w:p>
    <w:p w:rsidR="00B328DE" w:rsidRPr="00DD518E" w:rsidRDefault="00DD518E" w:rsidP="00171ED9">
      <w:pPr>
        <w:pStyle w:val="Zarkazkladnhotextu"/>
        <w:spacing w:after="0"/>
        <w:ind w:left="0"/>
        <w:rPr>
          <w:rFonts w:asciiTheme="minorHAnsi" w:hAnsiTheme="minorHAnsi"/>
          <w:b/>
          <w:sz w:val="18"/>
          <w:szCs w:val="18"/>
        </w:rPr>
      </w:pPr>
      <w:r w:rsidRPr="00DD518E">
        <w:rPr>
          <w:rFonts w:asciiTheme="minorHAnsi" w:hAnsiTheme="minorHAnsi"/>
          <w:sz w:val="18"/>
          <w:szCs w:val="18"/>
        </w:rPr>
        <w:t>referent</w:t>
      </w:r>
      <w:r w:rsidR="00B328DE" w:rsidRPr="00034CEB">
        <w:rPr>
          <w:rFonts w:ascii="Calibri" w:hAnsi="Calibri"/>
          <w:sz w:val="18"/>
          <w:szCs w:val="18"/>
        </w:rPr>
        <w:t xml:space="preserve"> rozpočtu</w:t>
      </w:r>
      <w:r w:rsidR="00B328DE">
        <w:rPr>
          <w:rFonts w:ascii="Calibri" w:hAnsi="Calibri"/>
          <w:sz w:val="18"/>
          <w:szCs w:val="18"/>
        </w:rPr>
        <w:t xml:space="preserve"> </w:t>
      </w:r>
      <w:r w:rsidR="00B328DE">
        <w:rPr>
          <w:rFonts w:ascii="Calibri" w:hAnsi="Calibri"/>
          <w:sz w:val="18"/>
          <w:szCs w:val="18"/>
        </w:rPr>
        <w:tab/>
      </w:r>
      <w:r w:rsidR="00B328DE">
        <w:rPr>
          <w:rFonts w:ascii="Calibri" w:hAnsi="Calibri"/>
          <w:sz w:val="18"/>
          <w:szCs w:val="18"/>
        </w:rPr>
        <w:tab/>
      </w:r>
      <w:r w:rsidR="00B328DE">
        <w:rPr>
          <w:rFonts w:ascii="Calibri" w:hAnsi="Calibri"/>
          <w:sz w:val="18"/>
          <w:szCs w:val="18"/>
        </w:rPr>
        <w:tab/>
      </w:r>
      <w:r w:rsidR="00B328DE" w:rsidRPr="00034CEB">
        <w:rPr>
          <w:rFonts w:ascii="Calibri" w:hAnsi="Calibri"/>
          <w:sz w:val="18"/>
          <w:szCs w:val="18"/>
        </w:rPr>
        <w:t xml:space="preserve">referent rozpočtu </w:t>
      </w:r>
      <w:r w:rsidR="00B328DE" w:rsidRPr="00034CEB">
        <w:rPr>
          <w:rFonts w:ascii="Calibri" w:hAnsi="Calibri"/>
          <w:sz w:val="18"/>
          <w:szCs w:val="18"/>
        </w:rPr>
        <w:tab/>
      </w:r>
      <w:r w:rsidR="00B328DE" w:rsidRPr="00034CEB">
        <w:rPr>
          <w:rFonts w:ascii="Calibri" w:hAnsi="Calibri"/>
          <w:sz w:val="18"/>
          <w:szCs w:val="18"/>
        </w:rPr>
        <w:tab/>
        <w:t>referent rozpočtu</w:t>
      </w:r>
      <w:r w:rsidR="00B328DE" w:rsidRPr="00034CEB">
        <w:rPr>
          <w:rFonts w:ascii="Calibri" w:hAnsi="Calibri"/>
          <w:sz w:val="18"/>
          <w:szCs w:val="18"/>
        </w:rPr>
        <w:tab/>
      </w:r>
      <w:r w:rsidR="00B328DE" w:rsidRPr="00034CEB">
        <w:rPr>
          <w:rFonts w:ascii="Calibri" w:hAnsi="Calibri"/>
          <w:sz w:val="18"/>
          <w:szCs w:val="18"/>
        </w:rPr>
        <w:tab/>
        <w:t>referent rozpočtu</w:t>
      </w:r>
    </w:p>
    <w:p w:rsidR="00B328DE" w:rsidRPr="005F6BB4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eastAsia="Times New Roman" w:hAnsiTheme="minorHAnsi" w:cs="Arial"/>
          <w:sz w:val="18"/>
          <w:szCs w:val="18"/>
          <w:lang w:val="sk-SK" w:eastAsia="cs-CZ"/>
        </w:rPr>
      </w:pPr>
    </w:p>
    <w:p w:rsidR="00DD518E" w:rsidRPr="00171ED9" w:rsidRDefault="00B328DE" w:rsidP="00171ED9">
      <w:pPr>
        <w:pStyle w:val="Zarkazkladnhotextu"/>
        <w:spacing w:after="0"/>
        <w:ind w:left="0"/>
        <w:rPr>
          <w:rFonts w:asciiTheme="minorHAnsi" w:hAnsiTheme="minorHAnsi"/>
          <w:b/>
          <w:sz w:val="22"/>
          <w:szCs w:val="22"/>
        </w:rPr>
      </w:pPr>
      <w:r w:rsidRPr="00171ED9">
        <w:rPr>
          <w:rFonts w:asciiTheme="minorHAnsi" w:hAnsiTheme="minorHAnsi"/>
          <w:b/>
          <w:sz w:val="22"/>
          <w:szCs w:val="22"/>
        </w:rPr>
        <w:t>RNDr. Lenka Izakovičová</w:t>
      </w:r>
      <w:r w:rsid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>Ing. Andrea Filipová</w:t>
      </w:r>
      <w:r w:rsidRPr="00171ED9">
        <w:rPr>
          <w:rFonts w:asciiTheme="minorHAnsi" w:hAnsiTheme="minorHAnsi"/>
          <w:b/>
          <w:sz w:val="22"/>
          <w:szCs w:val="22"/>
        </w:rPr>
        <w:tab/>
        <w:t xml:space="preserve">Mgr. </w:t>
      </w:r>
      <w:r w:rsidR="00DA331F" w:rsidRPr="00171ED9">
        <w:rPr>
          <w:rFonts w:asciiTheme="minorHAnsi" w:hAnsiTheme="minorHAnsi"/>
          <w:b/>
          <w:sz w:val="22"/>
          <w:szCs w:val="22"/>
        </w:rPr>
        <w:t>Radovan Packa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="00DA331F" w:rsidRPr="00171ED9">
        <w:rPr>
          <w:rFonts w:asciiTheme="minorHAnsi" w:hAnsiTheme="minorHAnsi"/>
          <w:b/>
          <w:sz w:val="22"/>
          <w:szCs w:val="22"/>
        </w:rPr>
        <w:t>Ing. Soňa Lorenzová</w:t>
      </w:r>
    </w:p>
    <w:p w:rsidR="00B328DE" w:rsidRPr="00DD518E" w:rsidRDefault="00B328DE" w:rsidP="00171ED9">
      <w:pPr>
        <w:pStyle w:val="Zarkazkladnhotextu"/>
        <w:spacing w:after="0"/>
        <w:ind w:left="0"/>
        <w:rPr>
          <w:rFonts w:asciiTheme="minorHAnsi" w:hAnsiTheme="minorHAnsi"/>
          <w:b/>
          <w:sz w:val="18"/>
          <w:szCs w:val="18"/>
        </w:rPr>
      </w:pPr>
      <w:r w:rsidRPr="00034CEB">
        <w:rPr>
          <w:rFonts w:ascii="Calibri" w:hAnsi="Calibri"/>
          <w:sz w:val="18"/>
          <w:szCs w:val="18"/>
        </w:rPr>
        <w:t>referent rozpočtu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5F6BB4">
        <w:rPr>
          <w:rFonts w:asciiTheme="minorHAnsi" w:hAnsiTheme="minorHAnsi"/>
          <w:sz w:val="18"/>
          <w:szCs w:val="18"/>
        </w:rPr>
        <w:t>referent rozpočtu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>referent rozpočtu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>referent rozpočtu</w:t>
      </w:r>
    </w:p>
    <w:p w:rsidR="00B328DE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hAnsiTheme="minorHAnsi"/>
          <w:sz w:val="18"/>
          <w:szCs w:val="18"/>
        </w:rPr>
      </w:pPr>
    </w:p>
    <w:p w:rsidR="00B328DE" w:rsidRPr="00171ED9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hAnsiTheme="minorHAnsi"/>
          <w:b/>
          <w:sz w:val="22"/>
          <w:szCs w:val="22"/>
        </w:rPr>
      </w:pPr>
      <w:r w:rsidRPr="00171ED9">
        <w:rPr>
          <w:rFonts w:asciiTheme="minorHAnsi" w:hAnsiTheme="minorHAnsi"/>
          <w:b/>
          <w:sz w:val="22"/>
          <w:szCs w:val="22"/>
        </w:rPr>
        <w:t>Ing. Veronika Fialová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ab/>
      </w:r>
    </w:p>
    <w:p w:rsidR="00912CC9" w:rsidRDefault="00B328DE" w:rsidP="00B328DE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referent rozpočtu</w:t>
      </w:r>
      <w:r>
        <w:rPr>
          <w:rFonts w:asciiTheme="minorHAnsi" w:hAnsiTheme="minorHAnsi"/>
          <w:sz w:val="18"/>
          <w:szCs w:val="18"/>
        </w:rPr>
        <w:tab/>
      </w:r>
    </w:p>
    <w:p w:rsidR="00171ED9" w:rsidRDefault="00171ED9" w:rsidP="00912CC9">
      <w:pPr>
        <w:shd w:val="clear" w:color="auto" w:fill="FFFFFF"/>
        <w:jc w:val="center"/>
        <w:rPr>
          <w:rFonts w:ascii="Arial" w:hAnsi="Arial" w:cs="Arial"/>
          <w:bCs/>
        </w:rPr>
      </w:pPr>
    </w:p>
    <w:p w:rsidR="00912CC9" w:rsidRDefault="00912CC9" w:rsidP="00912CC9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Bratislava</w:t>
      </w:r>
    </w:p>
    <w:p w:rsidR="00912CC9" w:rsidRDefault="00912CC9" w:rsidP="00912CC9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Jún 201</w:t>
      </w:r>
      <w:r w:rsidR="00622CF0">
        <w:rPr>
          <w:rFonts w:ascii="Arial" w:hAnsi="Arial" w:cs="Arial"/>
          <w:bCs/>
        </w:rPr>
        <w:t>3</w:t>
      </w:r>
    </w:p>
    <w:p w:rsidR="00171ED9" w:rsidRDefault="00171ED9" w:rsidP="00C128DC">
      <w:pPr>
        <w:shd w:val="clear" w:color="auto" w:fill="FFFFFF"/>
        <w:spacing w:before="331"/>
        <w:ind w:left="86"/>
        <w:jc w:val="center"/>
        <w:rPr>
          <w:rFonts w:asciiTheme="minorHAnsi" w:hAnsiTheme="minorHAnsi"/>
          <w:b/>
          <w:bCs/>
        </w:rPr>
      </w:pPr>
    </w:p>
    <w:p w:rsidR="00C128DC" w:rsidRPr="00171ED9" w:rsidRDefault="00C128DC" w:rsidP="00C128DC">
      <w:pPr>
        <w:shd w:val="clear" w:color="auto" w:fill="FFFFFF"/>
        <w:spacing w:before="331"/>
        <w:ind w:left="86"/>
        <w:jc w:val="center"/>
        <w:rPr>
          <w:rFonts w:asciiTheme="minorHAnsi" w:hAnsiTheme="minorHAnsi"/>
        </w:rPr>
      </w:pPr>
      <w:r w:rsidRPr="00171ED9">
        <w:rPr>
          <w:rFonts w:asciiTheme="minorHAnsi" w:hAnsiTheme="minorHAnsi"/>
          <w:b/>
          <w:bCs/>
        </w:rPr>
        <w:lastRenderedPageBreak/>
        <w:t>UZNESENIE č. ../201</w:t>
      </w:r>
      <w:r w:rsidR="0013257E" w:rsidRPr="00171ED9">
        <w:rPr>
          <w:rFonts w:asciiTheme="minorHAnsi" w:hAnsiTheme="minorHAnsi"/>
          <w:b/>
          <w:bCs/>
        </w:rPr>
        <w:t>3</w:t>
      </w:r>
    </w:p>
    <w:p w:rsidR="00C128DC" w:rsidRPr="00171ED9" w:rsidRDefault="00C128DC" w:rsidP="00C128DC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  <w:r w:rsidRPr="00171ED9">
        <w:rPr>
          <w:rFonts w:asciiTheme="minorHAnsi" w:hAnsiTheme="minorHAnsi"/>
          <w:spacing w:val="-1"/>
        </w:rPr>
        <w:t>zo dňa 2</w:t>
      </w:r>
      <w:r w:rsidR="00912CC9" w:rsidRPr="00171ED9">
        <w:rPr>
          <w:rFonts w:asciiTheme="minorHAnsi" w:hAnsiTheme="minorHAnsi"/>
          <w:spacing w:val="-1"/>
        </w:rPr>
        <w:t>1</w:t>
      </w:r>
      <w:r w:rsidRPr="00171ED9">
        <w:rPr>
          <w:rFonts w:asciiTheme="minorHAnsi" w:hAnsiTheme="minorHAnsi"/>
          <w:spacing w:val="-1"/>
        </w:rPr>
        <w:t>.</w:t>
      </w:r>
      <w:r w:rsidR="00912CC9" w:rsidRPr="00171ED9">
        <w:rPr>
          <w:rFonts w:asciiTheme="minorHAnsi" w:hAnsiTheme="minorHAnsi"/>
          <w:spacing w:val="-1"/>
        </w:rPr>
        <w:t>6</w:t>
      </w:r>
      <w:r w:rsidRPr="00171ED9">
        <w:rPr>
          <w:rFonts w:asciiTheme="minorHAnsi" w:hAnsiTheme="minorHAnsi"/>
          <w:spacing w:val="-1"/>
        </w:rPr>
        <w:t>.201</w:t>
      </w:r>
      <w:r w:rsidR="00912CC9" w:rsidRPr="00171ED9">
        <w:rPr>
          <w:rFonts w:asciiTheme="minorHAnsi" w:hAnsiTheme="minorHAnsi"/>
          <w:spacing w:val="-1"/>
        </w:rPr>
        <w:t>3</w:t>
      </w:r>
    </w:p>
    <w:p w:rsidR="00C128DC" w:rsidRPr="00171ED9" w:rsidRDefault="00C128DC" w:rsidP="00C128DC">
      <w:pPr>
        <w:shd w:val="clear" w:color="auto" w:fill="FFFFFF"/>
        <w:spacing w:before="504"/>
        <w:ind w:left="22"/>
        <w:jc w:val="center"/>
        <w:rPr>
          <w:rFonts w:asciiTheme="minorHAnsi" w:hAnsiTheme="minorHAnsi"/>
        </w:rPr>
      </w:pPr>
      <w:r w:rsidRPr="00171ED9">
        <w:rPr>
          <w:rFonts w:asciiTheme="minorHAnsi" w:hAnsiTheme="minorHAnsi"/>
        </w:rPr>
        <w:t>Zastupiteľstvo Bratislavského samosprávneho kraja po prerokovaní materiálu</w:t>
      </w:r>
    </w:p>
    <w:p w:rsidR="00C128DC" w:rsidRPr="00171ED9" w:rsidRDefault="00C128DC" w:rsidP="00C128DC">
      <w:pPr>
        <w:shd w:val="clear" w:color="auto" w:fill="FFFFFF"/>
        <w:spacing w:before="274"/>
        <w:ind w:left="3398"/>
        <w:rPr>
          <w:rFonts w:asciiTheme="minorHAnsi" w:hAnsiTheme="minorHAnsi"/>
          <w:b/>
          <w:bCs/>
          <w:spacing w:val="54"/>
        </w:rPr>
      </w:pPr>
      <w:r w:rsidRPr="00171ED9">
        <w:rPr>
          <w:rFonts w:asciiTheme="minorHAnsi" w:hAnsiTheme="minorHAnsi"/>
          <w:b/>
          <w:bCs/>
          <w:spacing w:val="54"/>
        </w:rPr>
        <w:t>A. schvaľuje</w:t>
      </w:r>
    </w:p>
    <w:p w:rsidR="00C128DC" w:rsidRPr="00171ED9" w:rsidRDefault="00C128DC" w:rsidP="00171ED9">
      <w:pPr>
        <w:shd w:val="clear" w:color="auto" w:fill="FFFFFF"/>
        <w:spacing w:before="252" w:line="252" w:lineRule="exact"/>
        <w:ind w:left="576" w:hanging="554"/>
        <w:rPr>
          <w:rFonts w:asciiTheme="minorHAnsi" w:hAnsiTheme="minorHAnsi"/>
        </w:rPr>
      </w:pPr>
      <w:r w:rsidRPr="00171ED9">
        <w:rPr>
          <w:rFonts w:asciiTheme="minorHAnsi" w:hAnsiTheme="minorHAnsi"/>
        </w:rPr>
        <w:t xml:space="preserve">A.1. </w:t>
      </w:r>
      <w:r w:rsidR="00171ED9" w:rsidRPr="00171ED9">
        <w:rPr>
          <w:rFonts w:asciiTheme="minorHAnsi" w:hAnsiTheme="minorHAnsi"/>
        </w:rPr>
        <w:t xml:space="preserve"> </w:t>
      </w:r>
      <w:r w:rsidRPr="00171ED9">
        <w:rPr>
          <w:rFonts w:asciiTheme="minorHAnsi" w:hAnsiTheme="minorHAnsi"/>
        </w:rPr>
        <w:t>záverečn</w:t>
      </w:r>
      <w:r w:rsidR="00171ED9" w:rsidRPr="00171ED9">
        <w:rPr>
          <w:rFonts w:asciiTheme="minorHAnsi" w:hAnsiTheme="minorHAnsi"/>
        </w:rPr>
        <w:t>ý</w:t>
      </w:r>
      <w:r w:rsidRPr="00171ED9">
        <w:rPr>
          <w:rFonts w:asciiTheme="minorHAnsi" w:hAnsiTheme="minorHAnsi"/>
        </w:rPr>
        <w:t xml:space="preserve"> úč</w:t>
      </w:r>
      <w:r w:rsidR="00171ED9" w:rsidRPr="00171ED9">
        <w:rPr>
          <w:rFonts w:asciiTheme="minorHAnsi" w:hAnsiTheme="minorHAnsi"/>
        </w:rPr>
        <w:t xml:space="preserve">et </w:t>
      </w:r>
      <w:r w:rsidRPr="00171ED9">
        <w:rPr>
          <w:rFonts w:asciiTheme="minorHAnsi" w:hAnsiTheme="minorHAnsi"/>
        </w:rPr>
        <w:t xml:space="preserve"> Bratislavského samosprávneho kraja za rok 201</w:t>
      </w:r>
      <w:r w:rsidR="00912CC9" w:rsidRPr="00171ED9">
        <w:rPr>
          <w:rFonts w:asciiTheme="minorHAnsi" w:hAnsiTheme="minorHAnsi"/>
        </w:rPr>
        <w:t>2</w:t>
      </w:r>
      <w:r w:rsidR="001A60D4" w:rsidRPr="00171ED9">
        <w:rPr>
          <w:rFonts w:asciiTheme="minorHAnsi" w:hAnsiTheme="minorHAnsi"/>
        </w:rPr>
        <w:t xml:space="preserve"> a</w:t>
      </w:r>
      <w:r w:rsidR="00171ED9" w:rsidRPr="00171ED9">
        <w:rPr>
          <w:rFonts w:asciiTheme="minorHAnsi" w:hAnsiTheme="minorHAnsi"/>
        </w:rPr>
        <w:t> </w:t>
      </w:r>
      <w:r w:rsidR="001A60D4" w:rsidRPr="00171ED9">
        <w:rPr>
          <w:rFonts w:asciiTheme="minorHAnsi" w:hAnsiTheme="minorHAnsi"/>
        </w:rPr>
        <w:t>celoročné</w:t>
      </w:r>
      <w:r w:rsidR="00171ED9" w:rsidRPr="00171ED9">
        <w:rPr>
          <w:rFonts w:asciiTheme="minorHAnsi" w:hAnsiTheme="minorHAnsi"/>
        </w:rPr>
        <w:t xml:space="preserve"> </w:t>
      </w:r>
      <w:r w:rsidRPr="00171ED9">
        <w:rPr>
          <w:rFonts w:asciiTheme="minorHAnsi" w:hAnsiTheme="minorHAnsi"/>
        </w:rPr>
        <w:t>hospodárenie bez výhrad,</w:t>
      </w:r>
    </w:p>
    <w:p w:rsidR="001A60D4" w:rsidRPr="00171ED9" w:rsidRDefault="001A60D4" w:rsidP="00C128DC">
      <w:pPr>
        <w:shd w:val="clear" w:color="auto" w:fill="FFFFFF"/>
        <w:spacing w:before="50" w:line="504" w:lineRule="exact"/>
        <w:ind w:left="14"/>
        <w:rPr>
          <w:rFonts w:asciiTheme="minorHAnsi" w:hAnsiTheme="minorHAnsi"/>
        </w:rPr>
      </w:pPr>
    </w:p>
    <w:p w:rsidR="00C128DC" w:rsidRPr="00171ED9" w:rsidRDefault="00C128DC" w:rsidP="00C128DC">
      <w:pPr>
        <w:shd w:val="clear" w:color="auto" w:fill="FFFFFF"/>
        <w:spacing w:before="50" w:line="504" w:lineRule="exact"/>
        <w:ind w:left="14"/>
        <w:rPr>
          <w:rFonts w:asciiTheme="minorHAnsi" w:hAnsiTheme="minorHAnsi"/>
        </w:rPr>
      </w:pPr>
      <w:r w:rsidRPr="00171ED9">
        <w:rPr>
          <w:rFonts w:asciiTheme="minorHAnsi" w:hAnsiTheme="minorHAnsi"/>
        </w:rPr>
        <w:t>A.2. výsledok hospodárenia nasledovne:</w:t>
      </w:r>
    </w:p>
    <w:p w:rsidR="001A60D4" w:rsidRDefault="001A60D4" w:rsidP="00C128DC">
      <w:pPr>
        <w:shd w:val="clear" w:color="auto" w:fill="FFFFFF"/>
        <w:spacing w:before="50" w:line="504" w:lineRule="exact"/>
        <w:ind w:left="14"/>
        <w:rPr>
          <w:rFonts w:asciiTheme="minorHAnsi" w:hAnsiTheme="minorHAnsi"/>
          <w:sz w:val="22"/>
          <w:szCs w:val="22"/>
        </w:rPr>
      </w:pPr>
    </w:p>
    <w:tbl>
      <w:tblPr>
        <w:tblW w:w="8983" w:type="dxa"/>
        <w:jc w:val="center"/>
        <w:tblInd w:w="-28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8"/>
        <w:gridCol w:w="1885"/>
      </w:tblGrid>
      <w:tr w:rsidR="00C128DC" w:rsidTr="00171ED9">
        <w:trPr>
          <w:trHeight w:val="974"/>
          <w:jc w:val="center"/>
        </w:trPr>
        <w:tc>
          <w:tcPr>
            <w:tcW w:w="7098" w:type="dxa"/>
            <w:shd w:val="clear" w:color="auto" w:fill="808080"/>
            <w:vAlign w:val="center"/>
            <w:hideMark/>
          </w:tcPr>
          <w:p w:rsidR="00C128DC" w:rsidRPr="00171ED9" w:rsidRDefault="00C128DC" w:rsidP="00171ED9">
            <w:pPr>
              <w:rPr>
                <w:rFonts w:asciiTheme="minorHAnsi" w:hAnsiTheme="minorHAnsi" w:cs="Arial"/>
                <w:b/>
                <w:color w:val="FFFFFF" w:themeColor="background1"/>
              </w:rPr>
            </w:pPr>
            <w:r w:rsidRPr="00171ED9">
              <w:rPr>
                <w:rFonts w:asciiTheme="minorHAnsi" w:hAnsiTheme="minorHAnsi" w:cs="Arial"/>
                <w:b/>
                <w:color w:val="FFFFFF" w:themeColor="background1"/>
              </w:rPr>
              <w:t xml:space="preserve">Ukazovateľ </w:t>
            </w:r>
          </w:p>
        </w:tc>
        <w:tc>
          <w:tcPr>
            <w:tcW w:w="1885" w:type="dxa"/>
            <w:shd w:val="clear" w:color="auto" w:fill="808080"/>
            <w:vAlign w:val="center"/>
            <w:hideMark/>
          </w:tcPr>
          <w:p w:rsidR="00C128DC" w:rsidRPr="00171ED9" w:rsidRDefault="00C128DC" w:rsidP="00912CC9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</w:rPr>
            </w:pPr>
            <w:r w:rsidRPr="00171ED9">
              <w:rPr>
                <w:rFonts w:asciiTheme="minorHAnsi" w:hAnsiTheme="minorHAnsi" w:cs="Arial"/>
                <w:b/>
                <w:color w:val="FFFFFF" w:themeColor="background1"/>
              </w:rPr>
              <w:t>Plnenie/čerpanie  rozpočtu k 31.12.201</w:t>
            </w:r>
            <w:r w:rsidR="00912CC9" w:rsidRPr="00171ED9">
              <w:rPr>
                <w:rFonts w:asciiTheme="minorHAnsi" w:hAnsiTheme="minorHAnsi" w:cs="Arial"/>
                <w:b/>
                <w:color w:val="FFFFFF" w:themeColor="background1"/>
              </w:rPr>
              <w:t>2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>Bežné príjmy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111 491 401,70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>Bežné výdavky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103 879 536,41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shd w:val="clear" w:color="auto" w:fill="C0C0C0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71ED9">
              <w:rPr>
                <w:rFonts w:asciiTheme="minorHAnsi" w:hAnsiTheme="minorHAnsi" w:cstheme="minorHAnsi"/>
                <w:b/>
                <w:bCs/>
                <w:color w:val="000000"/>
              </w:rPr>
              <w:t>Prebytok bežného rozpočtu</w:t>
            </w:r>
          </w:p>
        </w:tc>
        <w:tc>
          <w:tcPr>
            <w:tcW w:w="1885" w:type="dxa"/>
            <w:shd w:val="clear" w:color="auto" w:fill="C0C0C0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7 611 865,29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>Kapitálové príjmy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728 056,56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>Kapitálové výdavky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12 229 342,21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71ED9">
              <w:rPr>
                <w:rFonts w:asciiTheme="minorHAnsi" w:hAnsiTheme="minorHAnsi" w:cstheme="minorHAnsi"/>
                <w:b/>
                <w:bCs/>
                <w:color w:val="000000"/>
              </w:rPr>
              <w:t>Bilancia kapitálového rozpočtu</w:t>
            </w:r>
          </w:p>
        </w:tc>
        <w:tc>
          <w:tcPr>
            <w:tcW w:w="18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-11 501 285,65</w:t>
            </w:r>
          </w:p>
        </w:tc>
      </w:tr>
      <w:tr w:rsidR="00912CC9" w:rsidTr="00171ED9">
        <w:trPr>
          <w:trHeight w:val="215"/>
          <w:jc w:val="center"/>
        </w:trPr>
        <w:tc>
          <w:tcPr>
            <w:tcW w:w="70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</w:rPr>
            </w:pPr>
            <w:r w:rsidRPr="00171ED9">
              <w:rPr>
                <w:rFonts w:asciiTheme="minorHAnsi" w:hAnsiTheme="minorHAnsi" w:cstheme="minorHAnsi"/>
                <w:b/>
                <w:bCs/>
              </w:rPr>
              <w:t xml:space="preserve">Bilancia rozpočtu </w:t>
            </w:r>
          </w:p>
        </w:tc>
        <w:tc>
          <w:tcPr>
            <w:tcW w:w="18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171ED9">
              <w:rPr>
                <w:rFonts w:ascii="Calibri" w:hAnsi="Calibri" w:cs="Calibri"/>
                <w:b/>
                <w:bCs/>
              </w:rPr>
              <w:t>-3 889 420,36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>Príjmové finančné operácie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7 090 361,83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 xml:space="preserve">Výdavky na finančné transakcie 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880 348,96</w:t>
            </w:r>
          </w:p>
        </w:tc>
      </w:tr>
      <w:tr w:rsidR="00912CC9" w:rsidTr="00171ED9">
        <w:trPr>
          <w:trHeight w:val="259"/>
          <w:jc w:val="center"/>
        </w:trPr>
        <w:tc>
          <w:tcPr>
            <w:tcW w:w="7098" w:type="dxa"/>
            <w:shd w:val="clear" w:color="auto" w:fill="C0C0C0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71ED9">
              <w:rPr>
                <w:rFonts w:asciiTheme="minorHAnsi" w:hAnsiTheme="minorHAnsi" w:cstheme="minorHAnsi"/>
                <w:b/>
                <w:bCs/>
                <w:color w:val="000000"/>
              </w:rPr>
              <w:t>Bilancia finančných operácií</w:t>
            </w:r>
          </w:p>
        </w:tc>
        <w:tc>
          <w:tcPr>
            <w:tcW w:w="1885" w:type="dxa"/>
            <w:shd w:val="clear" w:color="auto" w:fill="C0C0C0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6 210 012,87</w:t>
            </w:r>
          </w:p>
        </w:tc>
      </w:tr>
      <w:tr w:rsidR="00912CC9" w:rsidTr="00171ED9">
        <w:trPr>
          <w:trHeight w:val="301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>Príjmy a príjmové finančné operácie spolu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119 309 820,09</w:t>
            </w:r>
          </w:p>
        </w:tc>
      </w:tr>
      <w:tr w:rsidR="00912CC9" w:rsidTr="00171ED9">
        <w:trPr>
          <w:trHeight w:val="382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>Výdavky a výdavky na finančné transakcie spolu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116 989 227,58</w:t>
            </w:r>
          </w:p>
        </w:tc>
      </w:tr>
      <w:tr w:rsidR="00912CC9" w:rsidTr="00171ED9">
        <w:trPr>
          <w:trHeight w:val="487"/>
          <w:jc w:val="center"/>
        </w:trPr>
        <w:tc>
          <w:tcPr>
            <w:tcW w:w="7098" w:type="dxa"/>
            <w:shd w:val="clear" w:color="auto" w:fill="C0C0C0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71ED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Bilancia rozpočtu  bez finančných operácií celkom </w:t>
            </w:r>
          </w:p>
        </w:tc>
        <w:tc>
          <w:tcPr>
            <w:tcW w:w="1885" w:type="dxa"/>
            <w:shd w:val="clear" w:color="auto" w:fill="C0C0C0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-3 889 420,36</w:t>
            </w:r>
          </w:p>
        </w:tc>
      </w:tr>
      <w:tr w:rsidR="00912CC9" w:rsidTr="00171ED9">
        <w:trPr>
          <w:trHeight w:val="344"/>
          <w:jc w:val="center"/>
        </w:trPr>
        <w:tc>
          <w:tcPr>
            <w:tcW w:w="7098" w:type="dxa"/>
            <w:shd w:val="clear" w:color="auto" w:fill="8DB3E2" w:themeFill="text2" w:themeFillTint="66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71ED9">
              <w:rPr>
                <w:rFonts w:asciiTheme="minorHAnsi" w:hAnsiTheme="minorHAnsi" w:cstheme="minorHAnsi"/>
                <w:b/>
                <w:bCs/>
                <w:color w:val="000000"/>
              </w:rPr>
              <w:t>Bilancia rozpočtu vrátane finančných operácií celkom</w:t>
            </w:r>
          </w:p>
        </w:tc>
        <w:tc>
          <w:tcPr>
            <w:tcW w:w="1885" w:type="dxa"/>
            <w:shd w:val="clear" w:color="auto" w:fill="8DB3E2" w:themeFill="text2" w:themeFillTint="66"/>
            <w:vAlign w:val="center"/>
            <w:hideMark/>
          </w:tcPr>
          <w:p w:rsidR="00912CC9" w:rsidRPr="00171ED9" w:rsidRDefault="00912CC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2 320 592,51</w:t>
            </w:r>
          </w:p>
        </w:tc>
      </w:tr>
      <w:tr w:rsidR="00912CC9" w:rsidTr="00171ED9">
        <w:trPr>
          <w:trHeight w:val="414"/>
          <w:jc w:val="center"/>
        </w:trPr>
        <w:tc>
          <w:tcPr>
            <w:tcW w:w="7098" w:type="dxa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color w:val="000000"/>
              </w:rPr>
            </w:pPr>
            <w:r w:rsidRPr="00171ED9">
              <w:rPr>
                <w:rFonts w:asciiTheme="minorHAnsi" w:hAnsiTheme="minorHAnsi" w:cstheme="minorHAnsi"/>
                <w:color w:val="000000"/>
              </w:rPr>
              <w:t xml:space="preserve">Úprava finančných vzťahov v zmysle zákona č. 583/2004 Z. z. </w:t>
            </w:r>
          </w:p>
        </w:tc>
        <w:tc>
          <w:tcPr>
            <w:tcW w:w="1885" w:type="dxa"/>
            <w:vAlign w:val="center"/>
            <w:hideMark/>
          </w:tcPr>
          <w:p w:rsidR="00912CC9" w:rsidRPr="00171ED9" w:rsidRDefault="00912CC9" w:rsidP="00380B07">
            <w:pPr>
              <w:jc w:val="right"/>
              <w:rPr>
                <w:rFonts w:ascii="Calibri" w:hAnsi="Calibri" w:cs="Calibri"/>
                <w:color w:val="000000"/>
              </w:rPr>
            </w:pPr>
            <w:r w:rsidRPr="00171ED9">
              <w:rPr>
                <w:rFonts w:ascii="Calibri" w:hAnsi="Calibri" w:cs="Calibri"/>
                <w:color w:val="000000"/>
              </w:rPr>
              <w:t>59</w:t>
            </w:r>
            <w:r w:rsidR="00380B07" w:rsidRPr="00171ED9">
              <w:rPr>
                <w:rFonts w:ascii="Calibri" w:hAnsi="Calibri" w:cs="Calibri"/>
                <w:color w:val="000000"/>
              </w:rPr>
              <w:t>1 6</w:t>
            </w:r>
            <w:r w:rsidR="002C1595" w:rsidRPr="00171ED9">
              <w:rPr>
                <w:rFonts w:ascii="Calibri" w:hAnsi="Calibri" w:cs="Calibri"/>
                <w:color w:val="000000"/>
              </w:rPr>
              <w:t>03,87</w:t>
            </w:r>
          </w:p>
        </w:tc>
      </w:tr>
      <w:tr w:rsidR="00912CC9" w:rsidTr="00171ED9">
        <w:trPr>
          <w:trHeight w:val="487"/>
          <w:jc w:val="center"/>
        </w:trPr>
        <w:tc>
          <w:tcPr>
            <w:tcW w:w="7098" w:type="dxa"/>
            <w:shd w:val="clear" w:color="auto" w:fill="C0C0C0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71ED9">
              <w:rPr>
                <w:rFonts w:asciiTheme="minorHAnsi" w:hAnsiTheme="minorHAnsi" w:cstheme="minorHAnsi"/>
                <w:b/>
                <w:bCs/>
                <w:color w:val="000000"/>
              </w:rPr>
              <w:t>Bilancia rozpočtu bez finančných operácií po úprave celkom</w:t>
            </w:r>
          </w:p>
        </w:tc>
        <w:tc>
          <w:tcPr>
            <w:tcW w:w="1885" w:type="dxa"/>
            <w:shd w:val="clear" w:color="auto" w:fill="C0C0C0"/>
            <w:vAlign w:val="center"/>
            <w:hideMark/>
          </w:tcPr>
          <w:p w:rsidR="00912CC9" w:rsidRPr="00171ED9" w:rsidRDefault="00912CC9" w:rsidP="00380B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-3 297</w:t>
            </w:r>
            <w:r w:rsidR="002C1595" w:rsidRPr="00171ED9"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="00380B07" w:rsidRPr="00171ED9">
              <w:rPr>
                <w:rFonts w:ascii="Calibri" w:hAnsi="Calibri" w:cs="Calibri"/>
                <w:b/>
                <w:bCs/>
                <w:color w:val="000000"/>
              </w:rPr>
              <w:t>8</w:t>
            </w:r>
            <w:r w:rsidR="002C1595" w:rsidRPr="00171ED9">
              <w:rPr>
                <w:rFonts w:ascii="Calibri" w:hAnsi="Calibri" w:cs="Calibri"/>
                <w:b/>
                <w:bCs/>
                <w:color w:val="000000"/>
              </w:rPr>
              <w:t>16,49</w:t>
            </w:r>
          </w:p>
        </w:tc>
      </w:tr>
      <w:tr w:rsidR="00912CC9" w:rsidTr="00171ED9">
        <w:trPr>
          <w:trHeight w:val="399"/>
          <w:jc w:val="center"/>
        </w:trPr>
        <w:tc>
          <w:tcPr>
            <w:tcW w:w="7098" w:type="dxa"/>
            <w:shd w:val="clear" w:color="auto" w:fill="8DB3E2" w:themeFill="text2" w:themeFillTint="66"/>
            <w:vAlign w:val="center"/>
            <w:hideMark/>
          </w:tcPr>
          <w:p w:rsidR="00912CC9" w:rsidRPr="00171ED9" w:rsidRDefault="00912CC9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Bilancia rozpočtu vrátane finančných operácií po úprave celkom</w:t>
            </w:r>
          </w:p>
        </w:tc>
        <w:tc>
          <w:tcPr>
            <w:tcW w:w="1885" w:type="dxa"/>
            <w:shd w:val="clear" w:color="auto" w:fill="8DB3E2" w:themeFill="text2" w:themeFillTint="66"/>
            <w:vAlign w:val="center"/>
            <w:hideMark/>
          </w:tcPr>
          <w:p w:rsidR="00912CC9" w:rsidRPr="00171ED9" w:rsidRDefault="00912CC9" w:rsidP="00380B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71ED9">
              <w:rPr>
                <w:rFonts w:ascii="Calibri" w:hAnsi="Calibri" w:cs="Calibri"/>
                <w:b/>
                <w:bCs/>
                <w:color w:val="000000"/>
              </w:rPr>
              <w:t>1 728</w:t>
            </w:r>
            <w:r w:rsidR="002C1595" w:rsidRPr="00171ED9"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="00380B07" w:rsidRPr="00171ED9">
              <w:rPr>
                <w:rFonts w:ascii="Calibri" w:hAnsi="Calibri" w:cs="Calibri"/>
                <w:b/>
                <w:bCs/>
                <w:color w:val="000000"/>
              </w:rPr>
              <w:t>9</w:t>
            </w:r>
            <w:r w:rsidR="002C1595" w:rsidRPr="00171ED9">
              <w:rPr>
                <w:rFonts w:ascii="Calibri" w:hAnsi="Calibri" w:cs="Calibri"/>
                <w:b/>
                <w:bCs/>
                <w:color w:val="000000"/>
              </w:rPr>
              <w:t>88,64</w:t>
            </w:r>
          </w:p>
        </w:tc>
      </w:tr>
    </w:tbl>
    <w:p w:rsidR="00C128DC" w:rsidRPr="00171ED9" w:rsidRDefault="00C128DC" w:rsidP="00C128DC">
      <w:pPr>
        <w:shd w:val="clear" w:color="auto" w:fill="FFFFFF"/>
        <w:tabs>
          <w:tab w:val="decimal" w:pos="7797"/>
        </w:tabs>
        <w:spacing w:before="266" w:line="504" w:lineRule="exact"/>
        <w:rPr>
          <w:rFonts w:asciiTheme="minorHAnsi" w:hAnsiTheme="minorHAnsi"/>
        </w:rPr>
      </w:pPr>
      <w:r w:rsidRPr="00171ED9">
        <w:rPr>
          <w:rFonts w:asciiTheme="minorHAnsi" w:hAnsiTheme="minorHAnsi"/>
        </w:rPr>
        <w:t>A.3. rozdelenie zostatku finančných operácií nasledovne:</w:t>
      </w:r>
    </w:p>
    <w:p w:rsidR="00C128DC" w:rsidRPr="00171ED9" w:rsidRDefault="00C128DC" w:rsidP="00C128DC">
      <w:pPr>
        <w:pStyle w:val="Hlavika"/>
        <w:rPr>
          <w:rFonts w:ascii="Calibri" w:hAnsi="Calibri"/>
          <w:spacing w:val="-4"/>
        </w:rPr>
      </w:pPr>
    </w:p>
    <w:p w:rsidR="00C128DC" w:rsidRPr="00171ED9" w:rsidRDefault="00C128DC" w:rsidP="00C128DC">
      <w:pPr>
        <w:pStyle w:val="Hlavika"/>
        <w:rPr>
          <w:rFonts w:ascii="Calibri" w:hAnsi="Calibri"/>
          <w:spacing w:val="-4"/>
        </w:rPr>
      </w:pPr>
      <w:r w:rsidRPr="00171ED9">
        <w:rPr>
          <w:rFonts w:ascii="Calibri" w:hAnsi="Calibri"/>
          <w:spacing w:val="-4"/>
        </w:rPr>
        <w:t xml:space="preserve">                               Rezervný fond (1</w:t>
      </w:r>
      <w:r w:rsidR="0074723B" w:rsidRPr="00171ED9">
        <w:rPr>
          <w:rFonts w:ascii="Calibri" w:hAnsi="Calibri"/>
          <w:spacing w:val="-4"/>
        </w:rPr>
        <w:t>0</w:t>
      </w:r>
      <w:r w:rsidRPr="00171ED9">
        <w:rPr>
          <w:rFonts w:ascii="Calibri" w:hAnsi="Calibri"/>
          <w:spacing w:val="-4"/>
        </w:rPr>
        <w:t>0%)</w:t>
      </w:r>
      <w:r w:rsidRPr="00171ED9">
        <w:rPr>
          <w:rFonts w:ascii="Calibri" w:hAnsi="Calibri"/>
          <w:spacing w:val="-4"/>
        </w:rPr>
        <w:tab/>
        <w:t xml:space="preserve">  vo výške                                                        </w:t>
      </w:r>
      <w:r w:rsidR="0074723B" w:rsidRPr="00171ED9">
        <w:rPr>
          <w:rFonts w:ascii="Calibri" w:hAnsi="Calibri"/>
          <w:spacing w:val="-4"/>
        </w:rPr>
        <w:t>1 728</w:t>
      </w:r>
      <w:r w:rsidR="002C1595" w:rsidRPr="00171ED9">
        <w:rPr>
          <w:rFonts w:ascii="Calibri" w:hAnsi="Calibri"/>
          <w:spacing w:val="-4"/>
        </w:rPr>
        <w:t> </w:t>
      </w:r>
      <w:r w:rsidR="00380B07" w:rsidRPr="00171ED9">
        <w:rPr>
          <w:rFonts w:ascii="Calibri" w:hAnsi="Calibri"/>
          <w:spacing w:val="-4"/>
        </w:rPr>
        <w:t>9</w:t>
      </w:r>
      <w:r w:rsidR="002C1595" w:rsidRPr="00171ED9">
        <w:rPr>
          <w:rFonts w:ascii="Calibri" w:hAnsi="Calibri"/>
          <w:spacing w:val="-4"/>
        </w:rPr>
        <w:t>88,64</w:t>
      </w:r>
      <w:r w:rsidR="0074723B" w:rsidRPr="00171ED9">
        <w:rPr>
          <w:rFonts w:ascii="Calibri" w:hAnsi="Calibri"/>
          <w:spacing w:val="-4"/>
        </w:rPr>
        <w:t xml:space="preserve"> EUR</w:t>
      </w:r>
      <w:r w:rsidRPr="00171ED9">
        <w:rPr>
          <w:rFonts w:ascii="Calibri" w:hAnsi="Calibri"/>
          <w:spacing w:val="-4"/>
        </w:rPr>
        <w:tab/>
      </w:r>
      <w:r w:rsidRPr="00171ED9">
        <w:rPr>
          <w:rFonts w:ascii="Calibri" w:hAnsi="Calibri"/>
          <w:spacing w:val="-4"/>
        </w:rPr>
        <w:tab/>
      </w:r>
      <w:r w:rsidRPr="00171ED9">
        <w:rPr>
          <w:rFonts w:ascii="Calibri" w:hAnsi="Calibri"/>
          <w:spacing w:val="-4"/>
        </w:rPr>
        <w:tab/>
      </w:r>
      <w:r w:rsidRPr="00171ED9">
        <w:rPr>
          <w:rFonts w:ascii="Calibri" w:hAnsi="Calibri"/>
          <w:spacing w:val="-4"/>
        </w:rPr>
        <w:tab/>
        <w:t xml:space="preserve">      590 970,22  EUR</w:t>
      </w:r>
    </w:p>
    <w:p w:rsidR="00C128DC" w:rsidRPr="00171ED9" w:rsidRDefault="00C128DC" w:rsidP="00C128DC">
      <w:pPr>
        <w:pStyle w:val="Hlavika"/>
        <w:tabs>
          <w:tab w:val="left" w:pos="708"/>
        </w:tabs>
        <w:rPr>
          <w:rFonts w:ascii="Calibri" w:hAnsi="Calibri"/>
          <w:spacing w:val="-4"/>
        </w:rPr>
      </w:pPr>
      <w:r w:rsidRPr="00171ED9">
        <w:rPr>
          <w:rFonts w:ascii="Calibri" w:hAnsi="Calibri"/>
          <w:spacing w:val="-4"/>
        </w:rPr>
        <w:tab/>
        <w:t xml:space="preserve">                </w:t>
      </w:r>
    </w:p>
    <w:p w:rsidR="0074723B" w:rsidRDefault="0074723B" w:rsidP="001A60D4">
      <w:pPr>
        <w:spacing w:line="360" w:lineRule="auto"/>
        <w:rPr>
          <w:rFonts w:asciiTheme="minorHAnsi" w:hAnsiTheme="minorHAnsi"/>
          <w:b/>
          <w:spacing w:val="60"/>
          <w:sz w:val="32"/>
          <w:szCs w:val="32"/>
        </w:rPr>
      </w:pPr>
    </w:p>
    <w:p w:rsidR="00171ED9" w:rsidRDefault="00171ED9" w:rsidP="00C128DC">
      <w:pPr>
        <w:spacing w:line="360" w:lineRule="auto"/>
        <w:ind w:firstLine="709"/>
        <w:jc w:val="center"/>
        <w:rPr>
          <w:rFonts w:asciiTheme="minorHAnsi" w:hAnsiTheme="minorHAnsi"/>
          <w:b/>
          <w:spacing w:val="60"/>
          <w:sz w:val="32"/>
          <w:szCs w:val="32"/>
        </w:rPr>
      </w:pPr>
    </w:p>
    <w:p w:rsidR="00C128DC" w:rsidRPr="00171ED9" w:rsidRDefault="00C128DC" w:rsidP="00C128DC">
      <w:pPr>
        <w:spacing w:line="360" w:lineRule="auto"/>
        <w:ind w:firstLine="709"/>
        <w:jc w:val="center"/>
        <w:rPr>
          <w:rFonts w:asciiTheme="minorHAnsi" w:hAnsiTheme="minorHAnsi"/>
          <w:b/>
          <w:spacing w:val="60"/>
        </w:rPr>
      </w:pPr>
      <w:r w:rsidRPr="00171ED9">
        <w:rPr>
          <w:rFonts w:asciiTheme="minorHAnsi" w:hAnsiTheme="minorHAnsi"/>
          <w:b/>
          <w:spacing w:val="60"/>
        </w:rPr>
        <w:lastRenderedPageBreak/>
        <w:t>Dôvodová správa</w:t>
      </w:r>
    </w:p>
    <w:p w:rsidR="00C128DC" w:rsidRDefault="00C128DC" w:rsidP="00C128DC">
      <w:pPr>
        <w:spacing w:line="360" w:lineRule="auto"/>
        <w:ind w:firstLine="709"/>
        <w:jc w:val="center"/>
        <w:rPr>
          <w:rFonts w:asciiTheme="minorHAnsi" w:hAnsiTheme="minorHAnsi"/>
        </w:rPr>
      </w:pPr>
    </w:p>
    <w:p w:rsidR="00143197" w:rsidRPr="0074723B" w:rsidRDefault="00143197" w:rsidP="00143197">
      <w:pPr>
        <w:spacing w:line="360" w:lineRule="auto"/>
        <w:ind w:firstLine="709"/>
        <w:jc w:val="both"/>
        <w:rPr>
          <w:rFonts w:asciiTheme="minorHAnsi" w:hAnsiTheme="minorHAnsi"/>
        </w:rPr>
      </w:pPr>
      <w:r w:rsidRPr="0074723B">
        <w:rPr>
          <w:rFonts w:asciiTheme="minorHAnsi" w:hAnsiTheme="minorHAnsi"/>
        </w:rPr>
        <w:t xml:space="preserve">Návrh </w:t>
      </w:r>
      <w:r w:rsidR="00622CF0" w:rsidRPr="0074723B">
        <w:rPr>
          <w:rFonts w:asciiTheme="minorHAnsi" w:hAnsiTheme="minorHAnsi"/>
        </w:rPr>
        <w:t>Z</w:t>
      </w:r>
      <w:r w:rsidRPr="0074723B">
        <w:rPr>
          <w:rFonts w:asciiTheme="minorHAnsi" w:hAnsiTheme="minorHAnsi"/>
        </w:rPr>
        <w:t xml:space="preserve">áverečného účtu Bratislavského samosprávneho kraja za rok 2012 predkladá úrad BSK na </w:t>
      </w:r>
      <w:r w:rsidR="00C128DC" w:rsidRPr="0074723B">
        <w:rPr>
          <w:rFonts w:asciiTheme="minorHAnsi" w:hAnsiTheme="minorHAnsi"/>
        </w:rPr>
        <w:t xml:space="preserve"> rokovanie Zastupiteľstva BSK na základe povinnosti vyplývajúcej pre vyšší územný celok z ustanovenia § 16 ods. 1 zákona č. 583/2004 Z. z. o rozpočtových pravidlách územnej samosprávy </w:t>
      </w:r>
      <w:r w:rsidRPr="0074723B">
        <w:rPr>
          <w:rFonts w:asciiTheme="minorHAnsi" w:hAnsiTheme="minorHAnsi"/>
        </w:rPr>
        <w:t xml:space="preserve">a o zmene a doplnení niektorých zákonov v </w:t>
      </w:r>
      <w:r w:rsidR="00C128DC" w:rsidRPr="0074723B">
        <w:rPr>
          <w:rFonts w:asciiTheme="minorHAnsi" w:hAnsiTheme="minorHAnsi"/>
        </w:rPr>
        <w:t xml:space="preserve"> znení neskorších predpisov. </w:t>
      </w:r>
    </w:p>
    <w:p w:rsidR="00143197" w:rsidRPr="0074723B" w:rsidRDefault="00143197" w:rsidP="00143197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143197" w:rsidRPr="0074723B" w:rsidRDefault="00143197" w:rsidP="00143197">
      <w:pPr>
        <w:spacing w:line="360" w:lineRule="auto"/>
        <w:ind w:firstLine="709"/>
        <w:jc w:val="both"/>
        <w:rPr>
          <w:rFonts w:asciiTheme="minorHAnsi" w:hAnsiTheme="minorHAnsi"/>
        </w:rPr>
      </w:pPr>
      <w:r w:rsidRPr="0074723B">
        <w:rPr>
          <w:rFonts w:asciiTheme="minorHAnsi" w:hAnsiTheme="minorHAnsi"/>
        </w:rPr>
        <w:t>Spracovaný materiál predstavuje súhrnný dokument o výsledkoch rozpočtového hospodárenia Bratislavského samosprávneho kraja za rok 2012. Obsahuje údaje z účtovného a finančného výkazníctva BSK vrátane rozpočtových a príspevkových organizácii v jeho zriaďovateľskej pôsobnosti a finančné usporiadanie vzťahov kraja, organizácii a obchodných spoločností, v ktorých má kraj majetkovú účasť.</w:t>
      </w:r>
    </w:p>
    <w:p w:rsidR="00622CF0" w:rsidRPr="0074723B" w:rsidRDefault="00622CF0" w:rsidP="00C128DC">
      <w:pPr>
        <w:spacing w:line="360" w:lineRule="auto"/>
        <w:ind w:firstLine="709"/>
        <w:jc w:val="both"/>
        <w:rPr>
          <w:rFonts w:asciiTheme="minorHAnsi" w:hAnsiTheme="minorHAnsi"/>
          <w:color w:val="000000"/>
        </w:rPr>
      </w:pPr>
    </w:p>
    <w:p w:rsidR="00C128DC" w:rsidRPr="0074723B" w:rsidRDefault="00C128DC" w:rsidP="00C128DC">
      <w:pPr>
        <w:spacing w:line="360" w:lineRule="auto"/>
        <w:ind w:firstLine="709"/>
        <w:jc w:val="both"/>
        <w:rPr>
          <w:rFonts w:asciiTheme="minorHAnsi" w:hAnsiTheme="minorHAnsi"/>
          <w:color w:val="000000"/>
        </w:rPr>
      </w:pPr>
      <w:r w:rsidRPr="0074723B">
        <w:rPr>
          <w:rFonts w:asciiTheme="minorHAnsi" w:hAnsiTheme="minorHAnsi"/>
          <w:color w:val="000000"/>
        </w:rPr>
        <w:t>Štruktúra a obsah záverečného účtu Bratislavského samosprávneho kraja  upravuje exaktne legislatíva predovšetkým vo vzťahu k zostavovaniu rozpočtu a teda aj záverečného účtu v programovej štruktúre. Zostavovanie týchto dokumentov v programovej štruktúre slúži predovšetkým na prehľadné vyhodnotenie napĺňania cieľov kraja. Samotnú štruktúru a obsah záverečného účtu determinujú i zásady hospodárenia stanovené pre vyššie územné celky a definovanie základných oblastí kompetencií ich pôsobenia.</w:t>
      </w:r>
    </w:p>
    <w:p w:rsidR="009E5E84" w:rsidRPr="0074723B" w:rsidRDefault="009E5E84" w:rsidP="00C128DC">
      <w:pPr>
        <w:spacing w:line="360" w:lineRule="auto"/>
        <w:ind w:firstLine="709"/>
        <w:jc w:val="both"/>
        <w:rPr>
          <w:rFonts w:asciiTheme="minorHAnsi" w:hAnsiTheme="minorHAnsi"/>
          <w:color w:val="000000"/>
        </w:rPr>
      </w:pPr>
    </w:p>
    <w:p w:rsidR="00C128DC" w:rsidRPr="0074723B" w:rsidRDefault="00C128DC" w:rsidP="00C128DC">
      <w:pPr>
        <w:spacing w:line="360" w:lineRule="auto"/>
        <w:ind w:firstLine="709"/>
        <w:jc w:val="both"/>
        <w:rPr>
          <w:rFonts w:asciiTheme="minorHAnsi" w:hAnsiTheme="minorHAnsi"/>
        </w:rPr>
      </w:pPr>
      <w:r w:rsidRPr="0074723B">
        <w:rPr>
          <w:rFonts w:asciiTheme="minorHAnsi" w:hAnsiTheme="minorHAnsi"/>
        </w:rPr>
        <w:t>Plnenie úloh priradených kraju legislatívou zabezpečoval Bratislavský samosprávny kraj prostredníctvom finančných tokov a väzieb zadefinovaných v rozpočte samosprávneho kraja na rok 201</w:t>
      </w:r>
      <w:r w:rsidR="009E5E84" w:rsidRPr="0074723B">
        <w:rPr>
          <w:rFonts w:asciiTheme="minorHAnsi" w:hAnsiTheme="minorHAnsi"/>
        </w:rPr>
        <w:t>2</w:t>
      </w:r>
      <w:r w:rsidRPr="0074723B">
        <w:rPr>
          <w:rFonts w:asciiTheme="minorHAnsi" w:hAnsiTheme="minorHAnsi"/>
        </w:rPr>
        <w:t xml:space="preserve">. </w:t>
      </w:r>
    </w:p>
    <w:p w:rsidR="003B3762" w:rsidRDefault="003B3762" w:rsidP="00B328DE">
      <w:pPr>
        <w:rPr>
          <w:rFonts w:ascii="Arial" w:hAnsi="Arial" w:cs="Arial"/>
        </w:rPr>
        <w:sectPr w:rsidR="003B3762" w:rsidSect="001D4AE8"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B3762" w:rsidRPr="00A04872" w:rsidRDefault="003B3762" w:rsidP="003B3762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lastRenderedPageBreak/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3B3762" w:rsidRPr="004B4A28" w:rsidRDefault="003B3762" w:rsidP="003B3762">
      <w:pPr>
        <w:rPr>
          <w:rFonts w:ascii="Arial" w:eastAsia="Arial Unicode MS" w:hAnsi="Arial" w:cs="Arial"/>
          <w:b/>
          <w:sz w:val="18"/>
          <w:szCs w:val="18"/>
        </w:rPr>
      </w:pPr>
    </w:p>
    <w:p w:rsidR="003B3762" w:rsidRDefault="003B3762" w:rsidP="003B3762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>Návrh Záverečného účtu</w:t>
      </w:r>
      <w:r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>Bratislavského samosprávneho kraja za rok 2012</w:t>
      </w:r>
    </w:p>
    <w:tbl>
      <w:tblPr>
        <w:tblpPr w:leftFromText="141" w:rightFromText="141" w:vertAnchor="page" w:horzAnchor="margin" w:tblpXSpec="right" w:tblpY="1756"/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8"/>
        <w:gridCol w:w="4174"/>
        <w:gridCol w:w="1484"/>
        <w:gridCol w:w="1464"/>
        <w:gridCol w:w="2556"/>
      </w:tblGrid>
      <w:tr w:rsidR="003B3762" w:rsidRPr="004B4A28" w:rsidTr="00A504D5">
        <w:trPr>
          <w:trHeight w:val="378"/>
        </w:trPr>
        <w:tc>
          <w:tcPr>
            <w:tcW w:w="1574" w:type="pct"/>
            <w:shd w:val="clear" w:color="auto" w:fill="auto"/>
          </w:tcPr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1491" w:type="pct"/>
            <w:shd w:val="clear" w:color="auto" w:fill="auto"/>
          </w:tcPr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520" w:type="pct"/>
            <w:shd w:val="clear" w:color="auto" w:fill="auto"/>
          </w:tcPr>
          <w:p w:rsidR="003B3762" w:rsidRDefault="003B3762" w:rsidP="003B3762">
            <w:pPr>
              <w:rPr>
                <w:rFonts w:ascii="Arial" w:eastAsia="Arial Unicode MS" w:hAnsi="Arial" w:cs="Arial"/>
                <w:b/>
              </w:rPr>
            </w:pP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</w:rPr>
            </w:pPr>
            <w:r w:rsidRPr="004B4A28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519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</w:rPr>
              <w:t xml:space="preserve">Akcept. / 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Neakcept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</w:t>
            </w:r>
          </w:p>
        </w:tc>
        <w:tc>
          <w:tcPr>
            <w:tcW w:w="896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4B4A28">
              <w:rPr>
                <w:rFonts w:ascii="Arial" w:eastAsia="Arial Unicode MS" w:hAnsi="Arial" w:cs="Arial"/>
                <w:b/>
              </w:rPr>
              <w:t>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 /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 xml:space="preserve">.                                            </w:t>
            </w:r>
          </w:p>
        </w:tc>
      </w:tr>
      <w:tr w:rsidR="003B3762" w:rsidRPr="004B4A28" w:rsidTr="00A504D5">
        <w:trPr>
          <w:trHeight w:val="485"/>
        </w:trPr>
        <w:tc>
          <w:tcPr>
            <w:tcW w:w="1574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zdravotníctva a sociálnych vecí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3B3762" w:rsidRPr="00A504D5" w:rsidRDefault="00A504D5" w:rsidP="00A504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 Unicode MS" w:hAnsi="Arial" w:cs="Arial"/>
                <w:sz w:val="22"/>
                <w:szCs w:val="22"/>
              </w:rPr>
              <w:t>KZaSV</w:t>
            </w:r>
            <w:proofErr w:type="spellEnd"/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3B3762" w:rsidRPr="00A504D5">
              <w:rPr>
                <w:rFonts w:ascii="Arial" w:eastAsia="Arial Unicode MS" w:hAnsi="Arial" w:cs="Arial"/>
                <w:sz w:val="22"/>
                <w:szCs w:val="22"/>
              </w:rPr>
              <w:t>schválila návrh uznesenia predloženého materiálu a bez pripomienok ho odporúča na zasadnutie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Z BSK</w:t>
            </w:r>
            <w:r w:rsidR="003B3762" w:rsidRPr="00A504D5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</w:tc>
        <w:tc>
          <w:tcPr>
            <w:tcW w:w="520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4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4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3B3762" w:rsidRPr="004B4A28" w:rsidRDefault="003B3762" w:rsidP="003B3762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B3762" w:rsidRPr="004B4A28" w:rsidTr="00A504D5">
        <w:trPr>
          <w:trHeight w:val="654"/>
        </w:trPr>
        <w:tc>
          <w:tcPr>
            <w:tcW w:w="1574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dopravy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3B3762" w:rsidRPr="00A504D5" w:rsidRDefault="003B3762" w:rsidP="003B3762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KD po prerokovaní odporúča Z BSK prerokovať a schváliť predložený materiál.</w:t>
            </w:r>
          </w:p>
        </w:tc>
        <w:tc>
          <w:tcPr>
            <w:tcW w:w="520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7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B3762" w:rsidRPr="004B4A28" w:rsidTr="00A504D5">
        <w:trPr>
          <w:trHeight w:val="763"/>
        </w:trPr>
        <w:tc>
          <w:tcPr>
            <w:tcW w:w="1574" w:type="pct"/>
            <w:shd w:val="clear" w:color="auto" w:fill="auto"/>
            <w:vAlign w:val="center"/>
          </w:tcPr>
          <w:p w:rsidR="003B3762" w:rsidRPr="00A504D5" w:rsidRDefault="003B3762" w:rsidP="003B3762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európskych záležitostí, regionálnej spolupráce a cestovného ruchu </w:t>
            </w:r>
          </w:p>
          <w:p w:rsidR="003B3762" w:rsidRPr="00A504D5" w:rsidRDefault="003B3762" w:rsidP="003B376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Komisia EZ, RS a CR odporúča Z BSK schváliť Návrh záverečného účtu Bratislavského samosprávneho kraja za rok 2012 v navrhovanom znení uznesenia.</w:t>
            </w:r>
          </w:p>
        </w:tc>
        <w:tc>
          <w:tcPr>
            <w:tcW w:w="520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5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5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B3762" w:rsidRPr="004B4A28" w:rsidTr="00A504D5">
        <w:trPr>
          <w:trHeight w:val="426"/>
        </w:trPr>
        <w:tc>
          <w:tcPr>
            <w:tcW w:w="1574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kultúry</w:t>
            </w:r>
          </w:p>
          <w:p w:rsidR="003B3762" w:rsidRPr="00A504D5" w:rsidRDefault="003B3762" w:rsidP="003B376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3B3762" w:rsidRPr="00A504D5" w:rsidRDefault="00A504D5" w:rsidP="00A504D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Komisia kultúry schvaľuje predložený materiál a odporúča Z BSK materiál prerokovať a prijať navrhované uznesenie.</w:t>
            </w:r>
          </w:p>
        </w:tc>
        <w:tc>
          <w:tcPr>
            <w:tcW w:w="520" w:type="pct"/>
            <w:shd w:val="clear" w:color="auto" w:fill="auto"/>
          </w:tcPr>
          <w:p w:rsidR="003B3762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A504D5">
              <w:rPr>
                <w:rFonts w:ascii="Arial" w:eastAsia="Arial Unicode MS" w:hAnsi="Arial" w:cs="Arial"/>
                <w:sz w:val="18"/>
                <w:szCs w:val="18"/>
              </w:rPr>
              <w:t>4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A504D5">
              <w:rPr>
                <w:rFonts w:ascii="Arial" w:eastAsia="Arial Unicode MS" w:hAnsi="Arial" w:cs="Arial"/>
                <w:sz w:val="18"/>
                <w:szCs w:val="18"/>
              </w:rPr>
              <w:t>4</w:t>
            </w: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B3762" w:rsidRPr="004B4A28" w:rsidTr="00A504D5">
        <w:trPr>
          <w:trHeight w:val="818"/>
        </w:trPr>
        <w:tc>
          <w:tcPr>
            <w:tcW w:w="1574" w:type="pct"/>
            <w:shd w:val="clear" w:color="auto" w:fill="auto"/>
            <w:vAlign w:val="center"/>
          </w:tcPr>
          <w:p w:rsidR="003B3762" w:rsidRPr="00A504D5" w:rsidRDefault="003B3762" w:rsidP="003B3762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regionálneho rozvoja, územného </w:t>
            </w:r>
          </w:p>
          <w:p w:rsidR="003B3762" w:rsidRPr="00A504D5" w:rsidRDefault="003B3762" w:rsidP="003B3762">
            <w:pPr>
              <w:ind w:right="-762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plánovania a životného prostredia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3B3762" w:rsidRPr="00A504D5" w:rsidRDefault="003B3762" w:rsidP="003B3762">
            <w:pPr>
              <w:pStyle w:val="Odsekzoznamu"/>
              <w:ind w:left="32"/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Komisia po prerokovaní odporúča Z BSK pred</w:t>
            </w:r>
            <w:r w:rsidR="00A504D5">
              <w:rPr>
                <w:rFonts w:ascii="Arial" w:eastAsia="Arial Unicode MS" w:hAnsi="Arial" w:cs="Arial"/>
                <w:sz w:val="22"/>
                <w:szCs w:val="22"/>
              </w:rPr>
              <w:t>ložený návrh uznesenia schváliť.</w:t>
            </w:r>
          </w:p>
        </w:tc>
        <w:tc>
          <w:tcPr>
            <w:tcW w:w="520" w:type="pct"/>
            <w:shd w:val="clear" w:color="auto" w:fill="auto"/>
          </w:tcPr>
          <w:p w:rsidR="003B3762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5</w:t>
            </w:r>
          </w:p>
          <w:p w:rsidR="003B3762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4</w:t>
            </w: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1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B3762" w:rsidRPr="004B4A28" w:rsidTr="00A504D5">
        <w:trPr>
          <w:trHeight w:val="680"/>
        </w:trPr>
        <w:tc>
          <w:tcPr>
            <w:tcW w:w="1574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školstva, športu a mládeže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3B3762" w:rsidRPr="00A504D5" w:rsidRDefault="003B3762" w:rsidP="003B3762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Komisia odporúča materiál v zmysle návrhu uznesen</w:t>
            </w:r>
            <w:r w:rsidR="00A504D5">
              <w:rPr>
                <w:rFonts w:ascii="Arial" w:eastAsia="Arial Unicode MS" w:hAnsi="Arial" w:cs="Arial"/>
                <w:sz w:val="22"/>
                <w:szCs w:val="22"/>
              </w:rPr>
              <w:t>ia predložiť na rokovanie Z BSK</w:t>
            </w:r>
          </w:p>
        </w:tc>
        <w:tc>
          <w:tcPr>
            <w:tcW w:w="520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5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5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 w:rsidR="00A002BB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B3762" w:rsidRPr="004B4A28" w:rsidTr="00A504D5">
        <w:trPr>
          <w:trHeight w:val="132"/>
        </w:trPr>
        <w:tc>
          <w:tcPr>
            <w:tcW w:w="1574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Finančná komisia</w:t>
            </w:r>
          </w:p>
          <w:p w:rsidR="003B3762" w:rsidRPr="00A504D5" w:rsidRDefault="003B3762" w:rsidP="003B376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91" w:type="pct"/>
            <w:shd w:val="clear" w:color="auto" w:fill="auto"/>
          </w:tcPr>
          <w:p w:rsidR="00A504D5" w:rsidRPr="00A504D5" w:rsidRDefault="00A504D5" w:rsidP="00A504D5">
            <w:pPr>
              <w:pStyle w:val="Odsekzoznamu"/>
              <w:numPr>
                <w:ilvl w:val="0"/>
                <w:numId w:val="15"/>
              </w:numPr>
              <w:ind w:left="331" w:hanging="283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odporúča Z BSK schváliť materiál „Návrh záverečného účtu B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SK</w:t>
            </w: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 xml:space="preserve"> za rok 2012“ po odstránení preklepu na str. 54 v slove „overenie“.</w:t>
            </w:r>
          </w:p>
          <w:p w:rsidR="00A504D5" w:rsidRPr="00A504D5" w:rsidRDefault="00A504D5" w:rsidP="00A504D5">
            <w:pPr>
              <w:pStyle w:val="Odsekzoznamu"/>
              <w:numPr>
                <w:ilvl w:val="0"/>
                <w:numId w:val="15"/>
              </w:numPr>
              <w:ind w:left="331" w:hanging="331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z</w:t>
            </w: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 xml:space="preserve">aslať členom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FK</w:t>
            </w: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 xml:space="preserve"> podrobné členenie výdavkov v programe 2 v roku 2012 spolu s komentárom k plneniu rozpočtu.</w:t>
            </w:r>
          </w:p>
          <w:p w:rsidR="003B3762" w:rsidRPr="00A504D5" w:rsidRDefault="003B3762" w:rsidP="00A504D5">
            <w:pPr>
              <w:pStyle w:val="Odsekzoznamu"/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</w:tcPr>
          <w:p w:rsidR="00A504D5" w:rsidRDefault="00A504D5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5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A504D5">
              <w:rPr>
                <w:rFonts w:ascii="Arial" w:eastAsia="Arial Unicode MS" w:hAnsi="Arial" w:cs="Arial"/>
                <w:sz w:val="18"/>
                <w:szCs w:val="18"/>
              </w:rPr>
              <w:t>4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A504D5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B3762" w:rsidRPr="00A504D5" w:rsidRDefault="00A504D5" w:rsidP="003B37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akceptované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3B3762" w:rsidRPr="00A504D5" w:rsidRDefault="00A504D5" w:rsidP="00A504D5">
            <w:pPr>
              <w:pStyle w:val="Odsekzoznamu"/>
              <w:numPr>
                <w:ilvl w:val="0"/>
                <w:numId w:val="16"/>
              </w:numPr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zapracované</w:t>
            </w:r>
          </w:p>
          <w:p w:rsidR="00A504D5" w:rsidRPr="00A504D5" w:rsidRDefault="00A504D5" w:rsidP="00A504D5">
            <w:pPr>
              <w:pStyle w:val="Odsekzoznamu"/>
              <w:numPr>
                <w:ilvl w:val="0"/>
                <w:numId w:val="16"/>
              </w:numPr>
              <w:rPr>
                <w:rFonts w:ascii="Arial" w:eastAsia="Arial Unicode MS" w:hAnsi="Arial" w:cs="Arial"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sz w:val="22"/>
                <w:szCs w:val="22"/>
              </w:rPr>
              <w:t>bude zaslané</w:t>
            </w:r>
          </w:p>
        </w:tc>
      </w:tr>
    </w:tbl>
    <w:p w:rsidR="003B3762" w:rsidRDefault="003B3762" w:rsidP="00B328DE">
      <w:pPr>
        <w:rPr>
          <w:rFonts w:ascii="Arial" w:hAnsi="Arial" w:cs="Arial"/>
        </w:rPr>
        <w:sectPr w:rsidR="003B3762" w:rsidSect="00A504D5">
          <w:pgSz w:w="16838" w:h="11906" w:orient="landscape"/>
          <w:pgMar w:top="426" w:right="1417" w:bottom="993" w:left="1417" w:header="708" w:footer="708" w:gutter="0"/>
          <w:pgNumType w:start="1"/>
          <w:cols w:space="708"/>
          <w:titlePg/>
          <w:docGrid w:linePitch="360"/>
        </w:sectPr>
      </w:pPr>
    </w:p>
    <w:p w:rsidR="000C5BFD" w:rsidRDefault="003B3762" w:rsidP="000C5BFD">
      <w:pPr>
        <w:rPr>
          <w:rFonts w:ascii="Arial" w:hAnsi="Arial" w:cs="Arial"/>
          <w:b/>
          <w:bCs/>
          <w:color w:val="FF0000"/>
          <w:spacing w:val="54"/>
          <w:sz w:val="22"/>
          <w:szCs w:val="22"/>
        </w:rPr>
        <w:sectPr w:rsidR="000C5BFD" w:rsidSect="000C5BFD">
          <w:footerReference w:type="default" r:id="rId10"/>
          <w:pgSz w:w="11906" w:h="16838"/>
          <w:pgMar w:top="851" w:right="849" w:bottom="1134" w:left="1276" w:header="708" w:footer="708" w:gutter="0"/>
          <w:pgNumType w:start="1"/>
          <w:cols w:space="708"/>
          <w:docGrid w:linePitch="360"/>
        </w:sectPr>
      </w:pPr>
      <w:r>
        <w:rPr>
          <w:rFonts w:ascii="Arial" w:hAnsi="Arial" w:cs="Arial"/>
          <w:b/>
          <w:bCs/>
          <w:color w:val="FF0000"/>
          <w:spacing w:val="54"/>
          <w:sz w:val="22"/>
          <w:szCs w:val="22"/>
        </w:rPr>
        <w:lastRenderedPageBreak/>
        <w:br w:type="page"/>
      </w:r>
    </w:p>
    <w:p w:rsidR="000C5BFD" w:rsidRPr="0074723B" w:rsidRDefault="000C5BFD" w:rsidP="00B328DE">
      <w:pPr>
        <w:rPr>
          <w:rFonts w:ascii="Arial" w:hAnsi="Arial" w:cs="Arial"/>
        </w:rPr>
      </w:pPr>
    </w:p>
    <w:sectPr w:rsidR="000C5BFD" w:rsidRPr="0074723B" w:rsidSect="00844289">
      <w:pgSz w:w="16838" w:h="11906" w:orient="landscape"/>
      <w:pgMar w:top="851" w:right="851" w:bottom="992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E6C" w:rsidRDefault="00257E6C" w:rsidP="001D4AE8">
      <w:r>
        <w:separator/>
      </w:r>
    </w:p>
  </w:endnote>
  <w:endnote w:type="continuationSeparator" w:id="0">
    <w:p w:rsidR="00257E6C" w:rsidRDefault="00257E6C" w:rsidP="001D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BFD" w:rsidRDefault="000C5BFD">
    <w:pPr>
      <w:pStyle w:val="Pta"/>
      <w:jc w:val="center"/>
    </w:pPr>
  </w:p>
  <w:p w:rsidR="000C5BFD" w:rsidRDefault="000C5BF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634024"/>
      <w:docPartObj>
        <w:docPartGallery w:val="Page Numbers (Bottom of Page)"/>
        <w:docPartUnique/>
      </w:docPartObj>
    </w:sdtPr>
    <w:sdtEndPr/>
    <w:sdtContent>
      <w:p w:rsidR="00400373" w:rsidRDefault="0040037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C00">
          <w:rPr>
            <w:noProof/>
          </w:rPr>
          <w:t>1</w:t>
        </w:r>
        <w:r>
          <w:fldChar w:fldCharType="end"/>
        </w:r>
      </w:p>
    </w:sdtContent>
  </w:sdt>
  <w:p w:rsidR="00400373" w:rsidRDefault="0040037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E6C" w:rsidRDefault="00257E6C" w:rsidP="001D4AE8">
      <w:r>
        <w:separator/>
      </w:r>
    </w:p>
  </w:footnote>
  <w:footnote w:type="continuationSeparator" w:id="0">
    <w:p w:rsidR="00257E6C" w:rsidRDefault="00257E6C" w:rsidP="001D4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568B"/>
    <w:multiLevelType w:val="hybridMultilevel"/>
    <w:tmpl w:val="74CEA04E"/>
    <w:lvl w:ilvl="0" w:tplc="FF0293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51B77"/>
    <w:multiLevelType w:val="hybridMultilevel"/>
    <w:tmpl w:val="4E987A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A30E4B"/>
    <w:multiLevelType w:val="hybridMultilevel"/>
    <w:tmpl w:val="F75C4C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F32F7"/>
    <w:multiLevelType w:val="hybridMultilevel"/>
    <w:tmpl w:val="53868C1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20384"/>
    <w:multiLevelType w:val="multilevel"/>
    <w:tmpl w:val="6B96F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C9C102F"/>
    <w:multiLevelType w:val="hybridMultilevel"/>
    <w:tmpl w:val="70F4D3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2AA65D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BB5EE0"/>
    <w:multiLevelType w:val="hybridMultilevel"/>
    <w:tmpl w:val="06CC4428"/>
    <w:lvl w:ilvl="0" w:tplc="C566590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E5EFF"/>
    <w:multiLevelType w:val="hybridMultilevel"/>
    <w:tmpl w:val="8A627AAE"/>
    <w:lvl w:ilvl="0" w:tplc="21680FB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D52971"/>
    <w:multiLevelType w:val="hybridMultilevel"/>
    <w:tmpl w:val="FF947FA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A680D"/>
    <w:multiLevelType w:val="hybridMultilevel"/>
    <w:tmpl w:val="3CDE92DC"/>
    <w:lvl w:ilvl="0" w:tplc="51C2DD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500B5"/>
    <w:multiLevelType w:val="hybridMultilevel"/>
    <w:tmpl w:val="92AA00B4"/>
    <w:lvl w:ilvl="0" w:tplc="40DC949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606DA"/>
    <w:multiLevelType w:val="hybridMultilevel"/>
    <w:tmpl w:val="7004B698"/>
    <w:lvl w:ilvl="0" w:tplc="FDD46E14">
      <w:start w:val="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863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55A7523"/>
    <w:multiLevelType w:val="hybridMultilevel"/>
    <w:tmpl w:val="05865D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75162BC9"/>
    <w:multiLevelType w:val="hybridMultilevel"/>
    <w:tmpl w:val="D1EAB59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2"/>
  </w:num>
  <w:num w:numId="5">
    <w:abstractNumId w:val="15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2"/>
  </w:num>
  <w:num w:numId="13">
    <w:abstractNumId w:val="7"/>
  </w:num>
  <w:num w:numId="14">
    <w:abstractNumId w:val="11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57223"/>
    <w:rsid w:val="000767C4"/>
    <w:rsid w:val="000C5BFD"/>
    <w:rsid w:val="00124469"/>
    <w:rsid w:val="0013257E"/>
    <w:rsid w:val="00143197"/>
    <w:rsid w:val="00171ED9"/>
    <w:rsid w:val="001A60D4"/>
    <w:rsid w:val="001D4AE8"/>
    <w:rsid w:val="00236CFB"/>
    <w:rsid w:val="00257E6C"/>
    <w:rsid w:val="002738E5"/>
    <w:rsid w:val="002C1595"/>
    <w:rsid w:val="00351254"/>
    <w:rsid w:val="00380B07"/>
    <w:rsid w:val="003B3762"/>
    <w:rsid w:val="003C478A"/>
    <w:rsid w:val="003C4C8C"/>
    <w:rsid w:val="003E3A13"/>
    <w:rsid w:val="00400373"/>
    <w:rsid w:val="004F4B45"/>
    <w:rsid w:val="00527140"/>
    <w:rsid w:val="005A3C97"/>
    <w:rsid w:val="005C668B"/>
    <w:rsid w:val="00605718"/>
    <w:rsid w:val="00622CF0"/>
    <w:rsid w:val="00670957"/>
    <w:rsid w:val="006A7C00"/>
    <w:rsid w:val="006D1E9E"/>
    <w:rsid w:val="00721239"/>
    <w:rsid w:val="0074723B"/>
    <w:rsid w:val="00773802"/>
    <w:rsid w:val="007E442C"/>
    <w:rsid w:val="008331CA"/>
    <w:rsid w:val="00844289"/>
    <w:rsid w:val="008A4BEE"/>
    <w:rsid w:val="00912CC9"/>
    <w:rsid w:val="009B3980"/>
    <w:rsid w:val="009E5E84"/>
    <w:rsid w:val="00A002BB"/>
    <w:rsid w:val="00A504D5"/>
    <w:rsid w:val="00AB0833"/>
    <w:rsid w:val="00AE391B"/>
    <w:rsid w:val="00B17131"/>
    <w:rsid w:val="00B328DE"/>
    <w:rsid w:val="00C04B55"/>
    <w:rsid w:val="00C128DC"/>
    <w:rsid w:val="00C51C92"/>
    <w:rsid w:val="00C72212"/>
    <w:rsid w:val="00C90693"/>
    <w:rsid w:val="00CD70E8"/>
    <w:rsid w:val="00D2523F"/>
    <w:rsid w:val="00DA331F"/>
    <w:rsid w:val="00DD518E"/>
    <w:rsid w:val="00DE16D5"/>
    <w:rsid w:val="00E03D64"/>
    <w:rsid w:val="00E45BE5"/>
    <w:rsid w:val="00EE3821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2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8A4BE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A4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C4C8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C4C8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45B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BE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BE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B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BE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B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BE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12446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Obsahtabulky">
    <w:name w:val="Obsah tabulky"/>
    <w:basedOn w:val="Normlny"/>
    <w:rsid w:val="00124469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kladntext">
    <w:name w:val="Body Text"/>
    <w:basedOn w:val="Normlny"/>
    <w:link w:val="ZkladntextChar"/>
    <w:rsid w:val="000C5BF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C5B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C5BFD"/>
    <w:pPr>
      <w:ind w:left="720"/>
      <w:contextualSpacing/>
    </w:pPr>
  </w:style>
  <w:style w:type="paragraph" w:styleId="Nzov">
    <w:name w:val="Title"/>
    <w:basedOn w:val="Normlny"/>
    <w:link w:val="NzovChar"/>
    <w:qFormat/>
    <w:rsid w:val="000C5BFD"/>
    <w:pPr>
      <w:jc w:val="center"/>
    </w:pPr>
    <w:rPr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0C5BFD"/>
    <w:rPr>
      <w:rFonts w:ascii="Times New Roman" w:eastAsia="Times New Roman" w:hAnsi="Times New Roman" w:cs="Times New Roman"/>
      <w:b/>
      <w:sz w:val="28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2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8A4BE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A4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C4C8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C4C8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45B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BE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BE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B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BE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B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BE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12446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Obsahtabulky">
    <w:name w:val="Obsah tabulky"/>
    <w:basedOn w:val="Normlny"/>
    <w:rsid w:val="00124469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kladntext">
    <w:name w:val="Body Text"/>
    <w:basedOn w:val="Normlny"/>
    <w:link w:val="ZkladntextChar"/>
    <w:rsid w:val="000C5BF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C5B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C5BFD"/>
    <w:pPr>
      <w:ind w:left="720"/>
      <w:contextualSpacing/>
    </w:pPr>
  </w:style>
  <w:style w:type="paragraph" w:styleId="Nzov">
    <w:name w:val="Title"/>
    <w:basedOn w:val="Normlny"/>
    <w:link w:val="NzovChar"/>
    <w:qFormat/>
    <w:rsid w:val="000C5BFD"/>
    <w:pPr>
      <w:jc w:val="center"/>
    </w:pPr>
    <w:rPr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0C5BFD"/>
    <w:rPr>
      <w:rFonts w:ascii="Times New Roman" w:eastAsia="Times New Roman" w:hAnsi="Times New Roman" w:cs="Times New Roman"/>
      <w:b/>
      <w:sz w:val="28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EC0AC-5F07-4B9F-86ED-940D9379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2013-06-06T07:09:00Z</cp:lastPrinted>
  <dcterms:created xsi:type="dcterms:W3CDTF">2013-06-11T10:10:00Z</dcterms:created>
  <dcterms:modified xsi:type="dcterms:W3CDTF">2013-06-11T10:10:00Z</dcterms:modified>
</cp:coreProperties>
</file>